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9B7" w:rsidRPr="00382E24" w:rsidRDefault="007D79B7" w:rsidP="00D05893">
      <w:pPr>
        <w:spacing w:before="100" w:beforeAutospacing="1" w:after="100" w:afterAutospacing="1" w:line="240" w:lineRule="auto"/>
        <w:rPr>
          <w:rFonts w:ascii="Times New Roman" w:eastAsia="Times New Roman" w:hAnsi="Times New Roman" w:cs="Times New Roman"/>
          <w:color w:val="000000" w:themeColor="text1"/>
          <w:sz w:val="24"/>
          <w:szCs w:val="24"/>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087"/>
      </w:tblGrid>
      <w:tr w:rsidR="007D79B7" w:rsidRPr="00382E24" w:rsidTr="006C4F9F">
        <w:tc>
          <w:tcPr>
            <w:tcW w:w="3114" w:type="dxa"/>
          </w:tcPr>
          <w:p w:rsidR="007D79B7" w:rsidRPr="00382E24" w:rsidRDefault="007D79B7" w:rsidP="007D79B7">
            <w:pPr>
              <w:spacing w:before="100" w:beforeAutospacing="1" w:after="100" w:afterAutospacing="1"/>
              <w:jc w:val="cente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UBND THÀNH PHỐ HUÊ</w:t>
            </w:r>
          </w:p>
        </w:tc>
        <w:tc>
          <w:tcPr>
            <w:tcW w:w="7087" w:type="dxa"/>
          </w:tcPr>
          <w:p w:rsidR="007D79B7" w:rsidRPr="00382E24" w:rsidRDefault="007D79B7" w:rsidP="007D79B7">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CỘNG HÒA XÃ HỘI CHỦ NGHĨA VIỆT NAM</w:t>
            </w:r>
          </w:p>
        </w:tc>
      </w:tr>
      <w:tr w:rsidR="007D79B7" w:rsidRPr="00382E24" w:rsidTr="006C4F9F">
        <w:tc>
          <w:tcPr>
            <w:tcW w:w="3114" w:type="dxa"/>
          </w:tcPr>
          <w:p w:rsidR="007D79B7" w:rsidRPr="00382E24" w:rsidRDefault="007D79B7" w:rsidP="007D79B7">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SỞ TÀI CHÍNH</w:t>
            </w:r>
          </w:p>
        </w:tc>
        <w:tc>
          <w:tcPr>
            <w:tcW w:w="7087" w:type="dxa"/>
          </w:tcPr>
          <w:p w:rsidR="007D79B7" w:rsidRPr="00382E24" w:rsidRDefault="007D79B7" w:rsidP="007D79B7">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Độc lập - Tự do - Hạnh phúc</w:t>
            </w:r>
          </w:p>
        </w:tc>
      </w:tr>
    </w:tbl>
    <w:p w:rsidR="007D79B7" w:rsidRPr="00382E24" w:rsidRDefault="00D05893" w:rsidP="007D79B7">
      <w:pPr>
        <w:spacing w:before="100" w:beforeAutospacing="1" w:after="100" w:afterAutospacing="1" w:line="240" w:lineRule="auto"/>
        <w:ind w:firstLine="720"/>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2336" behindDoc="0" locked="0" layoutInCell="1" allowOverlap="1" wp14:anchorId="15332EDE" wp14:editId="6799AA9A">
                <wp:simplePos x="0" y="0"/>
                <wp:positionH relativeFrom="column">
                  <wp:posOffset>3625214</wp:posOffset>
                </wp:positionH>
                <wp:positionV relativeFrom="paragraph">
                  <wp:posOffset>95885</wp:posOffset>
                </wp:positionV>
                <wp:extent cx="13620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362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967B08"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5.45pt,7.55pt" to="392.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31zgEAAAMEAAAOAAAAZHJzL2Uyb0RvYy54bWysU02P0zAQvSPxHyzfadIgFhQ13UNXywVB&#10;xbI/wOuMG0v+0tg06b9n7LTpCpAQq704GXvem3nP483tZA07AkbtXcfXq5ozcNL32h06/vjj/t0n&#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" strokecolor="black [3213]" strokeweight=".5pt">
                <v:stroke joinstyle="miter"/>
              </v:line>
            </w:pict>
          </mc:Fallback>
        </mc:AlternateContent>
      </w:r>
      <w:r w:rsidRPr="00382E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0D32B961" wp14:editId="6DFE7323">
                <wp:simplePos x="0" y="0"/>
                <wp:positionH relativeFrom="column">
                  <wp:posOffset>548640</wp:posOffset>
                </wp:positionH>
                <wp:positionV relativeFrom="paragraph">
                  <wp:posOffset>114935</wp:posOffset>
                </wp:positionV>
                <wp:extent cx="885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596187"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2pt,9.05pt" to="112.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" strokecolor="black [3200]" strokeweight=".5pt">
                <v:stroke joinstyle="miter"/>
              </v:line>
            </w:pict>
          </mc:Fallback>
        </mc:AlternateContent>
      </w:r>
      <w:r w:rsidR="007D79B7" w:rsidRPr="00382E24">
        <w:rPr>
          <w:rFonts w:ascii="Times New Roman" w:eastAsia="Times New Roman" w:hAnsi="Times New Roman" w:cs="Times New Roman"/>
          <w:color w:val="000000" w:themeColor="text1"/>
          <w:sz w:val="28"/>
          <w:szCs w:val="28"/>
        </w:rPr>
        <w:t>Số:            /TTr-STC                                  Huế, ngày     tháng      năm 2026</w:t>
      </w:r>
    </w:p>
    <w:tbl>
      <w:tblPr>
        <w:tblStyle w:val="TableGrid"/>
        <w:tblW w:w="0" w:type="auto"/>
        <w:tblLook w:val="04A0" w:firstRow="1" w:lastRow="0" w:firstColumn="1" w:lastColumn="0" w:noHBand="0" w:noVBand="1"/>
      </w:tblPr>
      <w:tblGrid>
        <w:gridCol w:w="1838"/>
      </w:tblGrid>
      <w:tr w:rsidR="00C40D36" w:rsidRPr="00382E24" w:rsidTr="00C40D36">
        <w:tc>
          <w:tcPr>
            <w:tcW w:w="1838" w:type="dxa"/>
          </w:tcPr>
          <w:p w:rsidR="00C40D36" w:rsidRPr="00382E24" w:rsidRDefault="00C40D36" w:rsidP="00C40D36">
            <w:pPr>
              <w:spacing w:before="100" w:beforeAutospacing="1" w:after="100" w:afterAutospacing="1"/>
              <w:jc w:val="center"/>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8"/>
                <w:szCs w:val="28"/>
              </w:rPr>
              <w:t>DỰ THẢO</w:t>
            </w:r>
          </w:p>
        </w:tc>
      </w:tr>
    </w:tbl>
    <w:p w:rsidR="007D79B7" w:rsidRPr="00382E24" w:rsidRDefault="007D79B7" w:rsidP="00C40D36">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8"/>
          <w:szCs w:val="28"/>
        </w:rPr>
        <w:t>TỜ TRÌNH</w:t>
      </w:r>
      <w:r w:rsidRPr="00382E24">
        <w:rPr>
          <w:rFonts w:ascii="Times New Roman" w:eastAsia="Times New Roman" w:hAnsi="Times New Roman" w:cs="Times New Roman"/>
          <w:b/>
          <w:color w:val="000000" w:themeColor="text1"/>
          <w:sz w:val="28"/>
          <w:szCs w:val="28"/>
        </w:rPr>
        <w:br/>
        <w:t>Về việc ban hành Quyết định quy định về hình thức hỗ trợ, định mức hỗ trợ, quản lý, thanh toán, quyết toán vốn đầu tư nguồn ngân sách nhà nước giao cho cộng đồng dân cư tự thực hiện đối với các dự án thuộc chương trình mục tiêu quốc gia trên địa bàn thành phố Huế</w:t>
      </w:r>
    </w:p>
    <w:p w:rsidR="007D79B7" w:rsidRPr="00382E24" w:rsidRDefault="007D79B7" w:rsidP="00FB2328">
      <w:pPr>
        <w:spacing w:before="100" w:beforeAutospacing="1" w:after="100" w:afterAutospacing="1" w:line="240" w:lineRule="auto"/>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Kính gửi: Ủy ban nhân dân thành phố</w:t>
      </w:r>
    </w:p>
    <w:p w:rsidR="00C40D36" w:rsidRPr="00382E24" w:rsidRDefault="00C40D36"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Thực hiện Kế hoạch số 290/KH-UBND ngày 22/5/2026 của UBND thành phố về </w:t>
      </w:r>
      <w:r w:rsidRPr="00382E24">
        <w:rPr>
          <w:rFonts w:ascii="Times New Roman" w:hAnsi="Times New Roman" w:cs="Times New Roman"/>
          <w:color w:val="000000" w:themeColor="text1"/>
          <w:sz w:val="28"/>
          <w:szCs w:val="28"/>
        </w:rPr>
        <w:t>Kế hoạch ban hành văn bản quản lý, tổ chức thực hiện chương trình mục tiêu quốc gia xây dựng nông thôn mới, giảm nghèo bền vững và phát triển kinh tế - xã hội vùng đồng bào dân tộc thiểu số và miền núi giai đoạn 2026-2030 trên địa bàn thành phố Huế</w:t>
      </w:r>
      <w:r w:rsidRPr="00382E24">
        <w:rPr>
          <w:rFonts w:ascii="Times New Roman" w:eastAsia="Times New Roman" w:hAnsi="Times New Roman" w:cs="Times New Roman"/>
          <w:color w:val="000000" w:themeColor="text1"/>
          <w:sz w:val="28"/>
          <w:szCs w:val="28"/>
        </w:rPr>
        <w:t>.</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Thực hiện quy định của Luật Ban hành văn bản quy phạm pháp luật và các văn bản quy định chi tiết, hướng dẫn thi hành; căn cứ các quy định của pháp luật về tổ chức chính quyền địa phương, ngân sách nhà nước, đầu tư công, xây dựng, cơ chế quản lý, tổ chức thực hiện các chương trình mục tiêu quốc gia và quản lý, thanh toán, quyết toán vốn đầu tư, Sở Tài chính kính trình Ủy ban nhân dân thành phố xem xét, ban hành Quyết định quy định về hình thức hỗ trợ, định mức hỗ trợ, quản lý, thanh toán, quyết toán vốn đầu tư nguồn ngân sách nhà nước giao cho cộng đồng dân cư tự thực hiện đối với các dự án thuộc chương trình mục tiêu quốc gia trên địa bàn thành phố Huế, cụ thể như sau:</w:t>
      </w:r>
    </w:p>
    <w:p w:rsidR="007D79B7" w:rsidRPr="00382E24" w:rsidRDefault="007D79B7" w:rsidP="006C4F9F">
      <w:pPr>
        <w:spacing w:before="120" w:after="0" w:line="240" w:lineRule="auto"/>
        <w:ind w:firstLine="851"/>
        <w:jc w:val="both"/>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8"/>
          <w:szCs w:val="28"/>
        </w:rPr>
        <w:t>I. SỰ CẦN THIẾT BAN HÀNH QUYẾT ĐỊNH</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1. Cơ sở pháp lý</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Luật Tổ chức chính quyền địa phương số 72/2025/QH15; Luật Ngân sách nhà nước số 89/2025/QH15 và các văn bản sửa đổi, bổ sung; Luật Đầu tư công số 58/2024/QH15 và các văn bản sửa đổi, bổ sung; Luật Xây dựng số 135/2025/QH15 và các quy định pháp luật có liên quan là cơ sở pháp lý để tổ chức quản lý nhà nước, quản lý ngân sách, đầu tư công và thực hiện các dự án trên địa bàn thành phố.</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Nghị định số 358/2025/NĐ-CP của Chính phủ quy định cơ chế quản lý, tổ chức thực hiện các chương trình mục tiêu quốc gia, trong đó quy định cơ chế giao cộng đồng dân cư hưởng lợi trực tiếp tự thực hiện dự án phù hợp với điều kiện, năng lực của cộng đồng dân cư.</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lastRenderedPageBreak/>
        <w:t>Nghị định số 254/2025/NĐ-CP của Chính phủ quy định về quản lý, thanh toán, quyết toán dự án sử dụng vốn đầu tư công, là cơ sở thực hiện quản lý, thanh toán và quyết toán vốn đầu tư của các dự án.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Nghị định số 193/2026/NĐ-CP của Chính phủ quy định về quyết toán vốn đầu tư dự án, là cơ sở thực hiện lập, thẩm tra và phê duyệt quyết toán dự án hoàn thành.</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Các thông tư của Bộ Tài chính hướng dẫn về quản lý, thanh toán, quyết toán vốn đầu tư và hệ thống mẫu biểu quyết toán là cơ sở để thực hiện hồ sơ, biểu mẫu và trình tự quyết toán theo quy định.</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2. Cơ sở thực tiễn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Cơ chế giao cộng đồng dân cư hưởng lợi trực tiếp tự thực hiện các dự án thuộc chương trình mục tiêu quốc gia là cơ chế có tính đặc thù, phù hợp với các công trình có tính chất kỹ thuật đơn giản, quy mô nhỏ và điều kiện thực tế tại địa bàn dân cư.</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Việc thực hiện cơ chế này góp phần phát huy vai trò chủ thể của người dân, huy động nguồn lực tại chỗ, tăng cường sự tham gia của cộng đồng trong quá trình thực hiện dự án, đồng thời nâng cao tính công khai, minh bạch và hiệu quả sử dụng nguồn vốn ngân sách nhà nước.</w:t>
      </w:r>
    </w:p>
    <w:p w:rsidR="007D79B7" w:rsidRPr="0068500E" w:rsidRDefault="007D79B7" w:rsidP="004054DF">
      <w:pPr>
        <w:spacing w:before="120" w:after="120"/>
        <w:ind w:firstLine="851"/>
        <w:jc w:val="both"/>
        <w:rPr>
          <w:rFonts w:ascii="Times New Roman" w:hAnsi="Times New Roman" w:cs="Times New Roman"/>
          <w:iCs/>
          <w:sz w:val="28"/>
          <w:szCs w:val="28"/>
        </w:rPr>
      </w:pPr>
      <w:r w:rsidRPr="00382E24">
        <w:rPr>
          <w:rFonts w:ascii="Times New Roman" w:eastAsia="Times New Roman" w:hAnsi="Times New Roman" w:cs="Times New Roman"/>
          <w:color w:val="000000" w:themeColor="text1"/>
          <w:sz w:val="28"/>
          <w:szCs w:val="28"/>
        </w:rPr>
        <w:t>Tuy nhiên, trong quá trình tổ chức thực hiện cần có quy định cụ thể, thống nhất về hình thức hỗ trợ, nguyên tắc xác định định mức hỗ trợ, quản lý phần vốn ngân sách nhà nước và phần vốn đối ứng của cộng đồng; hồ sơ, trình tự tạm ứng, thanh toán; quyết toán vốn đầu tư theo niên độ và quyết toán dự án hoàn thành; trách nhiệm của các cơ quan, đơn vị và cộng đồng dân cư</w:t>
      </w:r>
      <w:r w:rsidR="0068500E">
        <w:rPr>
          <w:rFonts w:ascii="Times New Roman" w:eastAsia="Times New Roman" w:hAnsi="Times New Roman" w:cs="Times New Roman"/>
          <w:color w:val="000000" w:themeColor="text1"/>
          <w:sz w:val="28"/>
          <w:szCs w:val="28"/>
        </w:rPr>
        <w:t xml:space="preserve"> đã có một số quy định không còn phù hợp</w:t>
      </w:r>
      <w:r w:rsidR="0068500E" w:rsidRPr="0068500E">
        <w:rPr>
          <w:rFonts w:ascii="Times New Roman" w:eastAsia="Times New Roman" w:hAnsi="Times New Roman" w:cs="Times New Roman"/>
          <w:color w:val="000000" w:themeColor="text1"/>
          <w:sz w:val="28"/>
          <w:szCs w:val="28"/>
        </w:rPr>
        <w:t xml:space="preserve"> </w:t>
      </w:r>
      <w:r w:rsidR="0068500E">
        <w:rPr>
          <w:rFonts w:ascii="Times New Roman" w:eastAsia="Times New Roman" w:hAnsi="Times New Roman" w:cs="Times New Roman"/>
          <w:color w:val="000000" w:themeColor="text1"/>
          <w:sz w:val="28"/>
          <w:szCs w:val="28"/>
        </w:rPr>
        <w:t xml:space="preserve">với </w:t>
      </w:r>
      <w:r w:rsidR="0068500E" w:rsidRPr="00382E24">
        <w:rPr>
          <w:rFonts w:ascii="Times New Roman" w:eastAsia="Times New Roman" w:hAnsi="Times New Roman" w:cs="Times New Roman"/>
          <w:color w:val="000000" w:themeColor="text1"/>
          <w:sz w:val="28"/>
          <w:szCs w:val="28"/>
        </w:rPr>
        <w:t>Quyết định số 29/2023/QĐ-UBND ngày</w:t>
      </w:r>
      <w:r w:rsidR="007C3676">
        <w:rPr>
          <w:rFonts w:ascii="Times New Roman" w:eastAsia="Times New Roman" w:hAnsi="Times New Roman" w:cs="Times New Roman"/>
          <w:color w:val="000000" w:themeColor="text1"/>
          <w:sz w:val="28"/>
          <w:szCs w:val="28"/>
        </w:rPr>
        <w:t xml:space="preserve"> 11</w:t>
      </w:r>
      <w:r w:rsidR="0068500E" w:rsidRPr="00382E24">
        <w:rPr>
          <w:rFonts w:ascii="Times New Roman" w:eastAsia="Times New Roman" w:hAnsi="Times New Roman" w:cs="Times New Roman"/>
          <w:color w:val="000000" w:themeColor="text1"/>
          <w:sz w:val="28"/>
          <w:szCs w:val="28"/>
        </w:rPr>
        <w:t xml:space="preserve"> tháng</w:t>
      </w:r>
      <w:r w:rsidR="007C3676">
        <w:rPr>
          <w:rFonts w:ascii="Times New Roman" w:eastAsia="Times New Roman" w:hAnsi="Times New Roman" w:cs="Times New Roman"/>
          <w:color w:val="000000" w:themeColor="text1"/>
          <w:sz w:val="28"/>
          <w:szCs w:val="28"/>
        </w:rPr>
        <w:t xml:space="preserve"> 7</w:t>
      </w:r>
      <w:r w:rsidR="0068500E" w:rsidRPr="00382E24">
        <w:rPr>
          <w:rFonts w:ascii="Times New Roman" w:eastAsia="Times New Roman" w:hAnsi="Times New Roman" w:cs="Times New Roman"/>
          <w:color w:val="000000" w:themeColor="text1"/>
          <w:sz w:val="28"/>
          <w:szCs w:val="28"/>
        </w:rPr>
        <w:t xml:space="preserve"> năm 2023 của Ủy ban nhân dân tỉnh Thừa Thiên Huế </w:t>
      </w:r>
      <w:r w:rsidR="0068500E">
        <w:rPr>
          <w:color w:val="000000" w:themeColor="text1"/>
          <w:sz w:val="28"/>
          <w:szCs w:val="28"/>
        </w:rPr>
        <w:t>“</w:t>
      </w:r>
      <w:r w:rsidR="0068500E" w:rsidRPr="0068500E">
        <w:rPr>
          <w:rFonts w:ascii="Times New Roman" w:eastAsia="Times New Roman" w:hAnsi="Times New Roman" w:cs="Times New Roman"/>
          <w:color w:val="000000" w:themeColor="text1"/>
          <w:sz w:val="28"/>
          <w:szCs w:val="28"/>
        </w:rPr>
        <w:t xml:space="preserve">ban hành Quy định về quản lý, thanh toán, quyết toán vốn đầu tư nguồn ngân sách nhà nước giao cho cộng đồng dân cư tự thực hiện thuộc các chương trình mục tiêu quốc gia trên địa bàn tỉnh Thừa Thiên Huế </w:t>
      </w:r>
      <w:r w:rsidR="0068500E" w:rsidRPr="0068500E">
        <w:rPr>
          <w:rFonts w:ascii="Times New Roman" w:hAnsi="Times New Roman" w:cs="Times New Roman"/>
          <w:noProof/>
          <w:sz w:val="28"/>
          <w:szCs w:val="28"/>
        </w:rPr>
        <w:t>(nay là UBND thành phố Huế)”</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Do đó, việc ban hành Quyết định của Ủy ban nhân dân thành phố để quy định cụ thể các nội dung nêu trên là cần thiết, tạo cơ sở pháp lý thống nhất trong tổ chức thực hiện trên địa bàn thành phố Huế.</w:t>
      </w:r>
    </w:p>
    <w:p w:rsidR="007D79B7" w:rsidRPr="00382E24" w:rsidRDefault="007D79B7" w:rsidP="006C4F9F">
      <w:pPr>
        <w:spacing w:before="120" w:after="0" w:line="240" w:lineRule="auto"/>
        <w:ind w:firstLine="851"/>
        <w:jc w:val="both"/>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8"/>
          <w:szCs w:val="28"/>
        </w:rPr>
        <w:t>II. MỤC ĐÍCH, QUAN ĐIỂM XÂY DỰNG QUYẾT ĐỊNH</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1. Mục đích</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Quy định cụ thể việc hỗ trợ từ ngân sách nhà nước đối với các dự án thuộc chương trình mục tiêu quốc gia được giao cho cộng đồng dân cư tự thực hiện; xác định rõ hình thức hỗ trợ, nguyên tắc xác định định mức hỗ trợ và việc quản lý, sử dụng nguồn vốn.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Quy định thống nhất hồ sơ, trình tự thực hiện tạm ứng, thanh toán và quyết toán vốn đầu tư, phù hợp với đặc điểm của dự án giao cộng đồng dân cư tự thực hiện.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Xác định rõ trách nhiệm của các cơ quan, đơn vị, tổ chức và cộng đồng dân cư trong quản lý, sử dụng, thanh toán và quyết toán vốn đầu tư; bảo đảm công khai, minh bạch, tiết kiệm và hiệu quả.</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2. Quan điểm xây dựng</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Bảo đảm phù hợp với quy định của pháp luật hiện hành và không trái với quy định của cơ quan nhà nước cấp trên.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Chỉ quy định những nội dung cần thiết để cụ thể hóa và tổ chức thực hiện trên địa bàn thành phố; những nội dung không quy định tại Quy định này thực hiện theo pháp luật có liên quan.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Quy định theo hướng rõ trách nhiệm, rõ hồ sơ, rõ trình tự thực hiện, phù hợp với điều kiện thực tế tại cấp xã và cộng đồng dân cư.</w:t>
      </w:r>
    </w:p>
    <w:p w:rsidR="007D79B7" w:rsidRPr="00382E24" w:rsidRDefault="007D79B7" w:rsidP="006C4F9F">
      <w:pPr>
        <w:spacing w:before="120" w:after="0" w:line="240" w:lineRule="auto"/>
        <w:ind w:firstLine="851"/>
        <w:jc w:val="both"/>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8"/>
          <w:szCs w:val="28"/>
        </w:rPr>
        <w:t>III. PHẠM VI ĐIỀU CHỈNH, ĐỐI TƯỢNG ÁP DỤNG</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1. Phạm vi điều chỉnh</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Dự thảo Quyết định quy định về hình thức hỗ trợ, nguyên tắc xác định định mức hỗ trợ, quản lý, thanh toán và quyết toán vốn đầu tư nguồn ngân sách nhà nước giao cho cộng đồng dân cư tự thực hiện đối với các dự án thuộc chương trình mục tiêu quốc gia trên địa bàn thành phố Huế.</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2. Đối tượng áp dụng</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Đối tượng áp dụng gồm các cơ quan, đơn vị, tổ chức và cá nhân có liên quan đến việc quản lý, tổ chức thực hiện, hỗ trợ, quản lý, thanh toán và quyết toán vốn đầu tư đối với các dự án thuộc phạm vi điều chỉnh của Quy định.</w:t>
      </w:r>
    </w:p>
    <w:p w:rsidR="007D79B7" w:rsidRPr="00382E24" w:rsidRDefault="007D79B7" w:rsidP="006C4F9F">
      <w:pPr>
        <w:spacing w:before="120" w:after="0" w:line="240" w:lineRule="auto"/>
        <w:ind w:firstLine="851"/>
        <w:jc w:val="both"/>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8"/>
          <w:szCs w:val="28"/>
        </w:rPr>
        <w:t>IV. NỘI DUNG CHỦ YẾU CỦA DỰ THẢO QUYẾT ĐỊNH</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Dự thảo Quyết định tập trung quy định các nhóm nội dung chủ yếu gồm:</w:t>
      </w:r>
    </w:p>
    <w:p w:rsidR="007D79B7" w:rsidRPr="00382E24" w:rsidRDefault="00C40D36" w:rsidP="004054D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w:t>
      </w:r>
      <w:r w:rsidR="007D79B7" w:rsidRPr="00382E24">
        <w:rPr>
          <w:rFonts w:ascii="Times New Roman" w:eastAsia="Times New Roman" w:hAnsi="Times New Roman" w:cs="Times New Roman"/>
          <w:color w:val="000000" w:themeColor="text1"/>
          <w:sz w:val="28"/>
          <w:szCs w:val="28"/>
        </w:rPr>
        <w:t>Quy định chung về phạm vi điều chỉnh, đối tượng áp dụng và nguyên tắc thực hiện.</w:t>
      </w:r>
    </w:p>
    <w:p w:rsidR="007D79B7" w:rsidRPr="00382E24" w:rsidRDefault="00C40D36" w:rsidP="00D05893">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w:t>
      </w:r>
      <w:r w:rsidR="007D79B7" w:rsidRPr="00382E24">
        <w:rPr>
          <w:rFonts w:ascii="Times New Roman" w:eastAsia="Times New Roman" w:hAnsi="Times New Roman" w:cs="Times New Roman"/>
          <w:color w:val="000000" w:themeColor="text1"/>
          <w:sz w:val="28"/>
          <w:szCs w:val="28"/>
        </w:rPr>
        <w:t>Hình thức hỗ trợ, nguyên tắc xác định định mức hỗ trợ và quản lý vốn đầu tư nguồn ngân sách nhà nước.</w:t>
      </w:r>
    </w:p>
    <w:p w:rsidR="007D79B7" w:rsidRPr="00382E24" w:rsidRDefault="00C40D36" w:rsidP="00D05893">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w:t>
      </w:r>
      <w:r w:rsidR="007D79B7" w:rsidRPr="00382E24">
        <w:rPr>
          <w:rFonts w:ascii="Times New Roman" w:eastAsia="Times New Roman" w:hAnsi="Times New Roman" w:cs="Times New Roman"/>
          <w:color w:val="000000" w:themeColor="text1"/>
          <w:sz w:val="28"/>
          <w:szCs w:val="28"/>
        </w:rPr>
        <w:t>Quản lý, thanh toán và quyết toán vốn đầu tư, gồm hồ sơ, trình tự tạm ứng, thanh toán, quyết toán vốn đầu tư theo niên độ và quyết toán dự án hoàn thành.</w:t>
      </w:r>
    </w:p>
    <w:p w:rsidR="007D79B7" w:rsidRPr="00382E24" w:rsidRDefault="00C40D36" w:rsidP="00D05893">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w:t>
      </w:r>
      <w:r w:rsidR="007D79B7" w:rsidRPr="00382E24">
        <w:rPr>
          <w:rFonts w:ascii="Times New Roman" w:eastAsia="Times New Roman" w:hAnsi="Times New Roman" w:cs="Times New Roman"/>
          <w:color w:val="000000" w:themeColor="text1"/>
          <w:sz w:val="28"/>
          <w:szCs w:val="28"/>
        </w:rPr>
        <w:t>Trách nhiệm của các cơ quan, đơn vị, tổ chức và cộng đồng dân cư trong tổ chức thực hiện, quản lý, thanh toán và quyết toán vốn đầu tư.</w:t>
      </w:r>
    </w:p>
    <w:p w:rsidR="007D79B7" w:rsidRPr="00382E24" w:rsidRDefault="00C40D36" w:rsidP="00D05893">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5.</w:t>
      </w:r>
      <w:r w:rsidR="007D79B7" w:rsidRPr="00382E24">
        <w:rPr>
          <w:rFonts w:ascii="Times New Roman" w:eastAsia="Times New Roman" w:hAnsi="Times New Roman" w:cs="Times New Roman"/>
          <w:color w:val="000000" w:themeColor="text1"/>
          <w:sz w:val="28"/>
          <w:szCs w:val="28"/>
        </w:rPr>
        <w:t>Hiệu lực thi hành và tổ chức thực hiện.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Nội dung cụ thể của từng điều, khoản được thuyết minh tại </w:t>
      </w:r>
      <w:r w:rsidRPr="00382E24">
        <w:rPr>
          <w:rFonts w:ascii="Times New Roman" w:eastAsia="Times New Roman" w:hAnsi="Times New Roman" w:cs="Times New Roman"/>
          <w:bCs/>
          <w:color w:val="000000" w:themeColor="text1"/>
          <w:sz w:val="28"/>
          <w:szCs w:val="28"/>
        </w:rPr>
        <w:t>Bảng thuyết minh nội dung dự thảo Quyết định kèm theo Tờ trình này</w:t>
      </w:r>
      <w:r w:rsidRPr="00382E24">
        <w:rPr>
          <w:rFonts w:ascii="Times New Roman" w:eastAsia="Times New Roman" w:hAnsi="Times New Roman" w:cs="Times New Roman"/>
          <w:color w:val="000000" w:themeColor="text1"/>
          <w:sz w:val="28"/>
          <w:szCs w:val="28"/>
        </w:rPr>
        <w:t>.</w:t>
      </w:r>
    </w:p>
    <w:p w:rsidR="007D79B7" w:rsidRPr="00382E24" w:rsidRDefault="007D79B7" w:rsidP="006C4F9F">
      <w:pPr>
        <w:spacing w:before="120" w:after="0" w:line="240" w:lineRule="auto"/>
        <w:ind w:firstLine="851"/>
        <w:jc w:val="both"/>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8"/>
          <w:szCs w:val="28"/>
        </w:rPr>
        <w:t>V. TÍNH HỢP HIẾN, HỢP PHÁP, TÍNH THỐNG NHẤT VÀ TÍNH KHẢ THI CỦA DỰ THẢO</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1. Về thẩm quyền ban hành</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Dự thảo Quyết định được xây dựng nhằm cụ thể hóa và tổ chức thực hiện các quy định của pháp luật về cơ chế quản lý, tổ chức thực hiện chương trình mục tiêu quốc gia, quản lý ngân sách nhà nước, đầu tư công và quản lý, thanh toán, quyết toán vốn đầu tư trên địa bàn thành phố Huế.</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Việc ban hành Quyết định thuộc thẩm quyền của Ủy ban nhân dân thành phố theo quy định của pháp luật về ban hành văn bản quy phạm pháp luật và các quy định pháp luật có liên quan.</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2. Về tính hợp hiến, hợp pháp và thống nhất</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Nội dung dự thảo được xây dựng trên cơ sở các quy định của pháp luật hiện hành về tổ chức chính quyền địa phương, ngân sách nhà nước, đầu tư công, xây dựng, chương trình mục tiêu quốc gia và quản lý, thanh toán, quyết toán vốn đầu tư.</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Dự thảo không đặt ra các quy định trái với quy định của pháp luật cấp trên; các nội dung không được quy định tại Quy định này được thực hiện theo quy định của pháp luật có liên quan.</w:t>
      </w:r>
    </w:p>
    <w:p w:rsidR="007D79B7" w:rsidRPr="00382E24" w:rsidRDefault="007D79B7" w:rsidP="006C4F9F">
      <w:pPr>
        <w:spacing w:before="120" w:after="0" w:line="240" w:lineRule="auto"/>
        <w:ind w:firstLine="851"/>
        <w:jc w:val="both"/>
        <w:outlineLvl w:val="2"/>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3. Về tính khả thi</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Các quy định được xây dựng phù hợp với đặc điểm của dự án giao cộng đồng dân cư tự thực hiện, tập trung vào các nội dung trực tiếp phát sinh trong quá trình quản lý, sử dụng, thanh toán và quyết toán vốn.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Việc quy định cụ thể về hồ sơ, trình tự thực hiện và trách nhiệm của từng chủ thể góp phần tạo thuận lợi cho cấp xã, Ban phát triển thôn và cộng đồng dân cư trong quá trình tổ chức thực hiện, đồng thời tăng cường kiểm soát việc sử dụng vốn ngân sách nhà nước.</w:t>
      </w:r>
    </w:p>
    <w:p w:rsidR="00FB2328" w:rsidRPr="00FB2328" w:rsidRDefault="00FB2328" w:rsidP="004054DF">
      <w:pPr>
        <w:spacing w:before="100" w:beforeAutospacing="1" w:after="100" w:afterAutospacing="1" w:line="240" w:lineRule="auto"/>
        <w:ind w:firstLine="720"/>
        <w:jc w:val="both"/>
        <w:rPr>
          <w:rFonts w:ascii="Times New Roman" w:eastAsia="Times New Roman" w:hAnsi="Times New Roman" w:cs="Times New Roman"/>
          <w:color w:val="000000" w:themeColor="text1"/>
          <w:sz w:val="28"/>
          <w:szCs w:val="28"/>
        </w:rPr>
      </w:pPr>
      <w:r w:rsidRPr="00FB2328">
        <w:rPr>
          <w:rFonts w:ascii="Times New Roman" w:eastAsia="Times New Roman" w:hAnsi="Times New Roman" w:cs="Times New Roman"/>
          <w:color w:val="000000" w:themeColor="text1"/>
          <w:sz w:val="28"/>
          <w:szCs w:val="28"/>
        </w:rPr>
        <w:t xml:space="preserve">Dự thảo Quyết định chủ yếu quy định cụ thể cơ chế quản lý, hỗ trợ, thanh toán và quyết toán vốn đối với dự án giao cộng đồng dân cư tự thực hiện; </w:t>
      </w:r>
      <w:r w:rsidRPr="00FB2328">
        <w:rPr>
          <w:rFonts w:ascii="Times New Roman" w:eastAsia="Times New Roman" w:hAnsi="Times New Roman" w:cs="Times New Roman"/>
          <w:bCs/>
          <w:color w:val="000000" w:themeColor="text1"/>
          <w:sz w:val="28"/>
          <w:szCs w:val="28"/>
        </w:rPr>
        <w:t>không đặt ra thủ tục hành chính mới</w:t>
      </w:r>
      <w:r w:rsidRPr="00FB2328">
        <w:rPr>
          <w:rFonts w:ascii="Times New Roman" w:eastAsia="Times New Roman" w:hAnsi="Times New Roman" w:cs="Times New Roman"/>
          <w:color w:val="000000" w:themeColor="text1"/>
          <w:sz w:val="28"/>
          <w:szCs w:val="28"/>
        </w:rPr>
        <w:t xml:space="preserve"> và không làm phát sinh thêm thành phần hồ sơ ngoài các yêu cầu cần thiết để quản lý, kiểm soát và quyết toán vốn theo quy định của pháp luật.</w:t>
      </w:r>
    </w:p>
    <w:p w:rsidR="00FB2328" w:rsidRPr="00FB2328" w:rsidRDefault="00FB2328" w:rsidP="004054DF">
      <w:pPr>
        <w:spacing w:before="100" w:beforeAutospacing="1" w:after="100" w:afterAutospacing="1" w:line="240" w:lineRule="auto"/>
        <w:ind w:firstLine="720"/>
        <w:jc w:val="both"/>
        <w:rPr>
          <w:rFonts w:ascii="Times New Roman" w:eastAsia="Times New Roman" w:hAnsi="Times New Roman" w:cs="Times New Roman"/>
          <w:color w:val="000000" w:themeColor="text1"/>
          <w:sz w:val="28"/>
          <w:szCs w:val="28"/>
        </w:rPr>
      </w:pPr>
      <w:r w:rsidRPr="00FB2328">
        <w:rPr>
          <w:rFonts w:ascii="Times New Roman" w:eastAsia="Times New Roman" w:hAnsi="Times New Roman" w:cs="Times New Roman"/>
          <w:color w:val="000000" w:themeColor="text1"/>
          <w:sz w:val="28"/>
          <w:szCs w:val="28"/>
        </w:rPr>
        <w:t>Dự thảo không đặt ra nội dung phân quyền, phân cấp mới làm thay đổi thẩm quyền của cơ quan nhà nước theo quy định của pháp luật hiện hành.</w:t>
      </w:r>
    </w:p>
    <w:p w:rsidR="007D79B7" w:rsidRPr="00382E24" w:rsidRDefault="007D79B7" w:rsidP="006C4F9F">
      <w:pPr>
        <w:spacing w:before="120" w:after="0" w:line="240" w:lineRule="auto"/>
        <w:ind w:firstLine="851"/>
        <w:jc w:val="both"/>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8"/>
          <w:szCs w:val="28"/>
        </w:rPr>
        <w:t>VI. NGUỒN LỰC VÀ ĐIỀU KIỆN BẢO ĐẢM THI HÀNH</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Việc tổ chức thực hiện Quyết định sử dụng bộ máy, nhân lực và nguồn lực hiện có của các cơ quan, đơn vị, địa phương; không làm phát sinh tổ chức, biên chế mới.</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Nguồn vốn thực hiện các dự án được bố trí trong kế hoạch đầu tư công và dự toán ngân sách nhà nước được cấp có thẩm quyền giao; việc quản lý, sử dụng và thanh toán vốn thực hiện theo quy định của pháp luật.</w:t>
      </w:r>
    </w:p>
    <w:p w:rsidR="00FB2328" w:rsidRDefault="00FB2328"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FB2328">
        <w:rPr>
          <w:rFonts w:ascii="Times New Roman" w:eastAsia="Times New Roman" w:hAnsi="Times New Roman" w:cs="Times New Roman"/>
          <w:color w:val="000000" w:themeColor="text1"/>
          <w:sz w:val="28"/>
          <w:szCs w:val="28"/>
        </w:rPr>
        <w:t>Việc thực hiện đăng ký mã số dự án, giao dịch, kiểm soát và thanh toán vốn được thực hiện trên hệ thống điện tử theo quy định của cơ quan có thẩm quyền, góp phần tăng cường ứng dụng công nghệ thông tin và chuyển đổi số trong quản lý vốn đầu tư</w:t>
      </w:r>
      <w:r>
        <w:rPr>
          <w:rFonts w:ascii="Times New Roman" w:eastAsia="Times New Roman" w:hAnsi="Times New Roman" w:cs="Times New Roman"/>
          <w:color w:val="000000" w:themeColor="text1"/>
          <w:sz w:val="28"/>
          <w:szCs w:val="28"/>
        </w:rPr>
        <w:t>.</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Các cơ quan, đơn vị, địa phương có trách nhiệm chủ động tổ chức triển khai, hướng dẫn, kiểm tra và giám sát việc thực hiện theo chức năng, nhiệm vụ được giao.</w:t>
      </w:r>
    </w:p>
    <w:p w:rsidR="007D79B7" w:rsidRPr="00FB2328" w:rsidRDefault="007D79B7" w:rsidP="00A467EB">
      <w:pPr>
        <w:spacing w:before="100" w:beforeAutospacing="1" w:after="100" w:afterAutospacing="1" w:line="240" w:lineRule="auto"/>
        <w:ind w:firstLine="851"/>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color w:val="000000" w:themeColor="text1"/>
          <w:sz w:val="28"/>
          <w:szCs w:val="28"/>
        </w:rPr>
        <w:t>VII. KIẾN NGHỊ, ĐỀ XUẤT</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Trên cơ sở các nội dung nêu trên, Sở Tài chính kính trình Ủy ban nhân dân thành phố:</w:t>
      </w:r>
    </w:p>
    <w:p w:rsidR="007D79B7" w:rsidRPr="00382E24" w:rsidRDefault="00C40D36" w:rsidP="00A467EB">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w:t>
      </w:r>
      <w:r w:rsidR="007D79B7" w:rsidRPr="00382E24">
        <w:rPr>
          <w:rFonts w:ascii="Times New Roman" w:eastAsia="Times New Roman" w:hAnsi="Times New Roman" w:cs="Times New Roman"/>
          <w:color w:val="000000" w:themeColor="text1"/>
          <w:sz w:val="28"/>
          <w:szCs w:val="28"/>
        </w:rPr>
        <w:t>Xem xét, ban hành Quyết định ban hành kèm theo Quy định về hình thức hỗ trợ, định mức hỗ trợ, quản lý, thanh toán, quyết toán vốn đầu tư nguồn ngân sách nhà nước giao cho cộng đồng dân cư tự thực hiện đối với các dự án thuộc chương trình mục tiêu quốc gia trên địa bàn thành phố Huế.</w:t>
      </w:r>
    </w:p>
    <w:p w:rsidR="007D79B7" w:rsidRPr="00382E24" w:rsidRDefault="00C40D36" w:rsidP="00A467EB">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w:t>
      </w:r>
      <w:r w:rsidR="007D79B7" w:rsidRPr="00382E24">
        <w:rPr>
          <w:rFonts w:ascii="Times New Roman" w:eastAsia="Times New Roman" w:hAnsi="Times New Roman" w:cs="Times New Roman"/>
          <w:color w:val="000000" w:themeColor="text1"/>
          <w:sz w:val="28"/>
          <w:szCs w:val="28"/>
        </w:rPr>
        <w:t>Giao Sở Tài chính chủ trì, phối hợp với các sở, ban, ngành, địa phương và cơ quan, đơn vị có liên quan hướng dẫn, tổ chức triển khai thực hiện Quyết định sau khi được ban hành; theo dõi, kiểm tra, tổng hợp những khó khăn, vướng mắc phát sinh và báo cáo Ủy ban nhân dân thành phố xem xét, xử lý theo thẩm quyền.</w:t>
      </w:r>
    </w:p>
    <w:p w:rsidR="007D79B7" w:rsidRPr="00382E24" w:rsidRDefault="007D79B7" w:rsidP="006C4F9F">
      <w:pPr>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Sở Tài chính kính trình Ủy ban nhân dân thành phố xem xét, quyết định./.</w:t>
      </w:r>
    </w:p>
    <w:p w:rsidR="00C40D36" w:rsidRPr="006C73DF" w:rsidRDefault="00C40D36" w:rsidP="00A467EB">
      <w:pPr>
        <w:spacing w:before="100" w:beforeAutospacing="1" w:after="100" w:afterAutospacing="1" w:line="240" w:lineRule="auto"/>
        <w:ind w:firstLine="851"/>
        <w:jc w:val="both"/>
        <w:rPr>
          <w:rFonts w:ascii="Times New Roman" w:eastAsia="Times New Roman" w:hAnsi="Times New Roman" w:cs="Times New Roman"/>
          <w:i/>
          <w:color w:val="000000" w:themeColor="text1"/>
          <w:sz w:val="24"/>
          <w:szCs w:val="24"/>
        </w:rPr>
      </w:pPr>
      <w:r w:rsidRPr="006C73DF">
        <w:rPr>
          <w:rFonts w:ascii="Times New Roman" w:eastAsia="Times New Roman" w:hAnsi="Times New Roman" w:cs="Times New Roman"/>
          <w:bCs/>
          <w:i/>
          <w:color w:val="000000" w:themeColor="text1"/>
          <w:sz w:val="28"/>
          <w:szCs w:val="28"/>
        </w:rPr>
        <w:t>Hồ sơ kèm theo Tờ trình</w:t>
      </w:r>
      <w:r w:rsidRPr="006C73DF">
        <w:rPr>
          <w:rFonts w:ascii="Times New Roman" w:eastAsia="Times New Roman" w:hAnsi="Times New Roman" w:cs="Times New Roman"/>
          <w:i/>
          <w:color w:val="000000" w:themeColor="text1"/>
          <w:sz w:val="28"/>
          <w:szCs w:val="28"/>
        </w:rPr>
        <w:t xml:space="preserve"> gồm: dự thảo Quyết định; dự thảo Quy định ban hành kèm theo Quyết định; Bảng thuyết minh nội dung dự thảo Quyết định và các tài liệu có liên quan theo quy định. Việc trình hồ sơ theo hướng này phù hợp với yêu cầu về hồ sơ trình dự thảo Quyết định được quy định tại Nghị định 78/2025/NĐ-CP</w:t>
      </w:r>
      <w:r w:rsidR="00FB2328" w:rsidRPr="006C73DF">
        <w:rPr>
          <w:rFonts w:ascii="Times New Roman" w:eastAsia="Times New Roman" w:hAnsi="Times New Roman" w:cs="Times New Roman"/>
          <w:i/>
          <w:color w:val="000000" w:themeColor="text1"/>
          <w:sz w:val="28"/>
          <w:szCs w:val="28"/>
        </w:rPr>
        <w:t>.</w:t>
      </w:r>
    </w:p>
    <w:p w:rsidR="007D79B7" w:rsidRPr="00382E24" w:rsidRDefault="007D79B7" w:rsidP="00C40D36">
      <w:pPr>
        <w:spacing w:after="0" w:line="240" w:lineRule="auto"/>
        <w:rPr>
          <w:rFonts w:ascii="Times New Roman" w:eastAsia="Times New Roman" w:hAnsi="Times New Roman" w:cs="Times New Roman"/>
          <w:b/>
          <w:color w:val="000000" w:themeColor="text1"/>
          <w:sz w:val="28"/>
          <w:szCs w:val="28"/>
        </w:rPr>
      </w:pPr>
      <w:r w:rsidRPr="00382E24">
        <w:rPr>
          <w:rFonts w:ascii="Times New Roman" w:eastAsia="Times New Roman" w:hAnsi="Times New Roman" w:cs="Times New Roman"/>
          <w:b/>
          <w:color w:val="000000" w:themeColor="text1"/>
          <w:sz w:val="24"/>
          <w:szCs w:val="24"/>
        </w:rPr>
        <w:t>Nơi nhận:</w:t>
      </w:r>
      <w:r w:rsidR="00C40D36" w:rsidRPr="00382E24">
        <w:rPr>
          <w:rFonts w:ascii="Times New Roman" w:eastAsia="Times New Roman" w:hAnsi="Times New Roman" w:cs="Times New Roman"/>
          <w:b/>
          <w:color w:val="000000" w:themeColor="text1"/>
          <w:sz w:val="24"/>
          <w:szCs w:val="24"/>
        </w:rPr>
        <w:t xml:space="preserve">                                                                                  </w:t>
      </w:r>
      <w:r w:rsidR="00C40D36" w:rsidRPr="00382E24">
        <w:rPr>
          <w:rFonts w:ascii="Times New Roman" w:eastAsia="Times New Roman" w:hAnsi="Times New Roman" w:cs="Times New Roman"/>
          <w:b/>
          <w:color w:val="000000" w:themeColor="text1"/>
          <w:sz w:val="28"/>
          <w:szCs w:val="28"/>
        </w:rPr>
        <w:t>GIÁM ĐỐC</w:t>
      </w:r>
    </w:p>
    <w:p w:rsidR="007D79B7" w:rsidRPr="00382E24" w:rsidRDefault="00C40D36" w:rsidP="00C40D3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w:t>
      </w:r>
      <w:r w:rsidR="007D79B7" w:rsidRPr="00382E24">
        <w:rPr>
          <w:rFonts w:ascii="Times New Roman" w:eastAsia="Times New Roman" w:hAnsi="Times New Roman" w:cs="Times New Roman"/>
          <w:color w:val="000000" w:themeColor="text1"/>
          <w:sz w:val="24"/>
          <w:szCs w:val="24"/>
        </w:rPr>
        <w:t>Như trên;</w:t>
      </w:r>
    </w:p>
    <w:p w:rsidR="007D79B7" w:rsidRPr="00382E24" w:rsidRDefault="00C40D36" w:rsidP="00C40D3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w:t>
      </w:r>
      <w:r w:rsidR="007D79B7" w:rsidRPr="00382E24">
        <w:rPr>
          <w:rFonts w:ascii="Times New Roman" w:eastAsia="Times New Roman" w:hAnsi="Times New Roman" w:cs="Times New Roman"/>
          <w:color w:val="000000" w:themeColor="text1"/>
          <w:sz w:val="24"/>
          <w:szCs w:val="24"/>
        </w:rPr>
        <w:t>Sở Tư pháp;</w:t>
      </w:r>
    </w:p>
    <w:p w:rsidR="007D79B7" w:rsidRPr="00382E24" w:rsidRDefault="00C40D36" w:rsidP="00C40D3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xml:space="preserve">-Giám đốc </w:t>
      </w:r>
      <w:r w:rsidR="007D79B7" w:rsidRPr="00382E24">
        <w:rPr>
          <w:rFonts w:ascii="Times New Roman" w:eastAsia="Times New Roman" w:hAnsi="Times New Roman" w:cs="Times New Roman"/>
          <w:color w:val="000000" w:themeColor="text1"/>
          <w:sz w:val="24"/>
          <w:szCs w:val="24"/>
        </w:rPr>
        <w:t>Sở</w:t>
      </w:r>
      <w:r w:rsidRPr="00382E24">
        <w:rPr>
          <w:rFonts w:ascii="Times New Roman" w:eastAsia="Times New Roman" w:hAnsi="Times New Roman" w:cs="Times New Roman"/>
          <w:color w:val="000000" w:themeColor="text1"/>
          <w:sz w:val="24"/>
          <w:szCs w:val="24"/>
        </w:rPr>
        <w:t xml:space="preserve"> TC</w:t>
      </w:r>
      <w:r w:rsidR="007D79B7" w:rsidRPr="00382E24">
        <w:rPr>
          <w:rFonts w:ascii="Times New Roman" w:eastAsia="Times New Roman" w:hAnsi="Times New Roman" w:cs="Times New Roman"/>
          <w:color w:val="000000" w:themeColor="text1"/>
          <w:sz w:val="24"/>
          <w:szCs w:val="24"/>
        </w:rPr>
        <w:t>;</w:t>
      </w:r>
    </w:p>
    <w:p w:rsidR="007D79B7" w:rsidRPr="00382E24" w:rsidRDefault="00C40D36" w:rsidP="00C40D3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w:t>
      </w:r>
      <w:r w:rsidR="007D79B7" w:rsidRPr="00382E24">
        <w:rPr>
          <w:rFonts w:ascii="Times New Roman" w:eastAsia="Times New Roman" w:hAnsi="Times New Roman" w:cs="Times New Roman"/>
          <w:color w:val="000000" w:themeColor="text1"/>
          <w:sz w:val="24"/>
          <w:szCs w:val="24"/>
        </w:rPr>
        <w:t xml:space="preserve">Lưu: VT, </w:t>
      </w:r>
      <w:r w:rsidRPr="00382E24">
        <w:rPr>
          <w:rFonts w:ascii="Times New Roman" w:eastAsia="Times New Roman" w:hAnsi="Times New Roman" w:cs="Times New Roman"/>
          <w:color w:val="000000" w:themeColor="text1"/>
          <w:sz w:val="24"/>
          <w:szCs w:val="24"/>
        </w:rPr>
        <w:t>TCKTN.</w:t>
      </w:r>
    </w:p>
    <w:p w:rsidR="007D79B7" w:rsidRDefault="007D79B7">
      <w:pPr>
        <w:rPr>
          <w:color w:val="000000" w:themeColor="text1"/>
        </w:rPr>
      </w:pPr>
    </w:p>
    <w:p w:rsidR="00FB2328" w:rsidRDefault="00FB2328">
      <w:pPr>
        <w:rPr>
          <w:color w:val="000000" w:themeColor="text1"/>
        </w:rPr>
      </w:pPr>
    </w:p>
    <w:p w:rsidR="00FB2328" w:rsidRDefault="00FB2328">
      <w:pPr>
        <w:rPr>
          <w:color w:val="000000" w:themeColor="text1"/>
        </w:rPr>
      </w:pPr>
    </w:p>
    <w:p w:rsidR="00FB2328" w:rsidRDefault="00FB2328">
      <w:pPr>
        <w:rPr>
          <w:color w:val="000000" w:themeColor="text1"/>
        </w:rPr>
      </w:pPr>
    </w:p>
    <w:p w:rsidR="00FB2328" w:rsidRDefault="00FB2328">
      <w:pPr>
        <w:rPr>
          <w:color w:val="000000" w:themeColor="text1"/>
        </w:rPr>
      </w:pPr>
    </w:p>
    <w:p w:rsidR="00FB2328" w:rsidRDefault="00FB2328">
      <w:pPr>
        <w:rPr>
          <w:color w:val="000000" w:themeColor="text1"/>
        </w:rPr>
      </w:pPr>
    </w:p>
    <w:p w:rsidR="00FB2328" w:rsidRDefault="00FB2328">
      <w:pPr>
        <w:rPr>
          <w:color w:val="000000" w:themeColor="text1"/>
        </w:rPr>
      </w:pPr>
    </w:p>
    <w:p w:rsidR="00FB2328" w:rsidRDefault="00FB2328">
      <w:pPr>
        <w:rPr>
          <w:color w:val="000000" w:themeColor="text1"/>
        </w:rPr>
      </w:pPr>
    </w:p>
    <w:p w:rsidR="00FB2328" w:rsidRPr="00382E24" w:rsidRDefault="00FB2328">
      <w:pPr>
        <w:rPr>
          <w:color w:val="000000" w:themeColor="text1"/>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087"/>
      </w:tblGrid>
      <w:tr w:rsidR="00FB2328" w:rsidRPr="00382E24" w:rsidTr="00DC666F">
        <w:tc>
          <w:tcPr>
            <w:tcW w:w="3114" w:type="dxa"/>
          </w:tcPr>
          <w:p w:rsidR="00FB2328" w:rsidRPr="00382E24" w:rsidRDefault="00FB2328" w:rsidP="00DC666F">
            <w:pPr>
              <w:spacing w:before="100" w:beforeAutospacing="1" w:after="100" w:afterAutospacing="1"/>
              <w:jc w:val="cente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UBND THÀNH PHỐ HUÊ</w:t>
            </w:r>
          </w:p>
        </w:tc>
        <w:tc>
          <w:tcPr>
            <w:tcW w:w="7087" w:type="dxa"/>
          </w:tcPr>
          <w:p w:rsidR="00FB2328" w:rsidRPr="00382E24" w:rsidRDefault="00FB2328" w:rsidP="00DC666F">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CỘNG HÒA XÃ HỘI CHỦ NGHĨA VIỆT NAM</w:t>
            </w:r>
          </w:p>
        </w:tc>
      </w:tr>
      <w:tr w:rsidR="00FB2328" w:rsidRPr="00382E24" w:rsidTr="00DC666F">
        <w:tc>
          <w:tcPr>
            <w:tcW w:w="3114" w:type="dxa"/>
          </w:tcPr>
          <w:p w:rsidR="00FB2328" w:rsidRPr="00382E24" w:rsidRDefault="00FB2328" w:rsidP="00DC666F">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SỞ TÀI CHÍNH</w:t>
            </w:r>
          </w:p>
        </w:tc>
        <w:tc>
          <w:tcPr>
            <w:tcW w:w="7087" w:type="dxa"/>
          </w:tcPr>
          <w:p w:rsidR="00FB2328" w:rsidRPr="00382E24" w:rsidRDefault="00FB2328" w:rsidP="00DC666F">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Độc lập - Tự do - Hạnh phúc</w:t>
            </w:r>
          </w:p>
        </w:tc>
      </w:tr>
    </w:tbl>
    <w:p w:rsidR="00FB2328" w:rsidRPr="00382E24" w:rsidRDefault="00FB2328" w:rsidP="00FB2328">
      <w:pPr>
        <w:spacing w:before="100" w:beforeAutospacing="1" w:after="100" w:afterAutospacing="1" w:line="240" w:lineRule="auto"/>
        <w:ind w:firstLine="720"/>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5408" behindDoc="0" locked="0" layoutInCell="1" allowOverlap="1" wp14:anchorId="62C0640F" wp14:editId="09CB91A2">
                <wp:simplePos x="0" y="0"/>
                <wp:positionH relativeFrom="column">
                  <wp:posOffset>3625214</wp:posOffset>
                </wp:positionH>
                <wp:positionV relativeFrom="paragraph">
                  <wp:posOffset>95885</wp:posOffset>
                </wp:positionV>
                <wp:extent cx="13620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3620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018FCD"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5.45pt,7.55pt" to="392.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" strokecolor="windowText" strokeweight=".5pt">
                <v:stroke joinstyle="miter"/>
              </v:line>
            </w:pict>
          </mc:Fallback>
        </mc:AlternateContent>
      </w:r>
      <w:r w:rsidRPr="00382E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4384" behindDoc="0" locked="0" layoutInCell="1" allowOverlap="1" wp14:anchorId="619EA2D4" wp14:editId="1DD99AF3">
                <wp:simplePos x="0" y="0"/>
                <wp:positionH relativeFrom="column">
                  <wp:posOffset>548640</wp:posOffset>
                </wp:positionH>
                <wp:positionV relativeFrom="paragraph">
                  <wp:posOffset>114935</wp:posOffset>
                </wp:positionV>
                <wp:extent cx="8858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8858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8CBAF1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2pt,9.05pt" to="112.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" strokecolor="windowText" strokeweight=".5pt">
                <v:stroke joinstyle="miter"/>
              </v:line>
            </w:pict>
          </mc:Fallback>
        </mc:AlternateContent>
      </w:r>
      <w:r>
        <w:rPr>
          <w:rFonts w:ascii="Times New Roman" w:eastAsia="Times New Roman" w:hAnsi="Times New Roman" w:cs="Times New Roman"/>
          <w:noProof/>
          <w:color w:val="000000" w:themeColor="text1"/>
          <w:sz w:val="28"/>
          <w:szCs w:val="28"/>
        </w:rPr>
        <w:t xml:space="preserve">                                 </w:t>
      </w:r>
      <w:r w:rsidRPr="00382E24">
        <w:rPr>
          <w:rFonts w:ascii="Times New Roman" w:eastAsia="Times New Roman" w:hAnsi="Times New Roman" w:cs="Times New Roman"/>
          <w:color w:val="000000" w:themeColor="text1"/>
          <w:sz w:val="28"/>
          <w:szCs w:val="28"/>
        </w:rPr>
        <w:t xml:space="preserve">                                  Huế, ngày     tháng      năm 2026</w:t>
      </w:r>
    </w:p>
    <w:p w:rsidR="007D79B7" w:rsidRPr="00382E24" w:rsidRDefault="007D79B7" w:rsidP="006C4F9F">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36"/>
          <w:szCs w:val="36"/>
        </w:rPr>
      </w:pPr>
      <w:r w:rsidRPr="00382E24">
        <w:rPr>
          <w:rFonts w:ascii="Times New Roman" w:eastAsia="Times New Roman" w:hAnsi="Times New Roman" w:cs="Times New Roman"/>
          <w:b/>
          <w:bCs/>
          <w:color w:val="000000" w:themeColor="text1"/>
          <w:sz w:val="36"/>
          <w:szCs w:val="36"/>
        </w:rPr>
        <w:t>BẢNG THUYẾT MINH</w:t>
      </w:r>
    </w:p>
    <w:p w:rsidR="007D79B7" w:rsidRPr="00FB2328" w:rsidRDefault="007D79B7" w:rsidP="006C4F9F">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rPr>
      </w:pPr>
      <w:r w:rsidRPr="00FB2328">
        <w:rPr>
          <w:rFonts w:ascii="Times New Roman" w:eastAsia="Times New Roman" w:hAnsi="Times New Roman" w:cs="Times New Roman"/>
          <w:b/>
          <w:bCs/>
          <w:color w:val="000000" w:themeColor="text1"/>
          <w:sz w:val="24"/>
          <w:szCs w:val="24"/>
        </w:rPr>
        <w:t>Nội dung dự thảo Quyết định quy định về hình thức hỗ trợ, định mức hỗ trợ, quản lý, thanh toán, quyết toán vốn đầu tư nguồn ngân sách nhà nước giao cho cộng đồng dân cư tự thực hiện đối với các dự án thuộc chương trình mục tiêu quốc gia trên địa bàn thành phố Huế</w:t>
      </w:r>
    </w:p>
    <w:p w:rsidR="00FB2328" w:rsidRPr="00FB2328" w:rsidRDefault="00FB2328" w:rsidP="006C4F9F">
      <w:pPr>
        <w:spacing w:before="100" w:beforeAutospacing="1" w:after="100" w:afterAutospacing="1" w:line="240" w:lineRule="auto"/>
        <w:jc w:val="center"/>
        <w:rPr>
          <w:rFonts w:ascii="Times New Roman" w:eastAsia="Times New Roman" w:hAnsi="Times New Roman" w:cs="Times New Roman"/>
          <w:bCs/>
          <w:color w:val="000000" w:themeColor="text1"/>
          <w:sz w:val="24"/>
          <w:szCs w:val="24"/>
        </w:rPr>
      </w:pPr>
      <w:r w:rsidRPr="00FB2328">
        <w:rPr>
          <w:rFonts w:ascii="Times New Roman" w:eastAsia="Times New Roman" w:hAnsi="Times New Roman" w:cs="Times New Roman"/>
          <w:bCs/>
          <w:color w:val="000000" w:themeColor="text1"/>
          <w:sz w:val="24"/>
          <w:szCs w:val="24"/>
        </w:rPr>
        <w:t>(Kèm theo Tờ trình số         /TTr-STC ngày tháng   năm của Sở Tài chính)</w:t>
      </w:r>
    </w:p>
    <w:tbl>
      <w:tblPr>
        <w:tblStyle w:val="TableGrid"/>
        <w:tblW w:w="9918" w:type="dxa"/>
        <w:tblLook w:val="04A0" w:firstRow="1" w:lastRow="0" w:firstColumn="1" w:lastColumn="0" w:noHBand="0" w:noVBand="1"/>
      </w:tblPr>
      <w:tblGrid>
        <w:gridCol w:w="671"/>
        <w:gridCol w:w="1025"/>
        <w:gridCol w:w="4111"/>
        <w:gridCol w:w="4111"/>
      </w:tblGrid>
      <w:tr w:rsidR="00FB2328" w:rsidRPr="00FB2328" w:rsidTr="006C4F9F">
        <w:tc>
          <w:tcPr>
            <w:tcW w:w="671" w:type="dxa"/>
          </w:tcPr>
          <w:p w:rsidR="00E64EC3" w:rsidRPr="00FB2328" w:rsidRDefault="00E64EC3" w:rsidP="006C4F9F">
            <w:pPr>
              <w:spacing w:before="100" w:beforeAutospacing="1" w:after="100" w:afterAutospacing="1"/>
              <w:jc w:val="center"/>
              <w:rPr>
                <w:rFonts w:ascii="Times New Roman" w:eastAsia="Times New Roman" w:hAnsi="Times New Roman" w:cs="Times New Roman"/>
                <w:b/>
                <w:color w:val="000000" w:themeColor="text1"/>
                <w:sz w:val="24"/>
                <w:szCs w:val="24"/>
              </w:rPr>
            </w:pPr>
            <w:r w:rsidRPr="00FB2328">
              <w:rPr>
                <w:rFonts w:ascii="Times New Roman" w:eastAsia="Times New Roman" w:hAnsi="Times New Roman" w:cs="Times New Roman"/>
                <w:b/>
                <w:bCs/>
                <w:color w:val="000000" w:themeColor="text1"/>
                <w:sz w:val="24"/>
                <w:szCs w:val="24"/>
              </w:rPr>
              <w:t>STT</w:t>
            </w:r>
          </w:p>
        </w:tc>
        <w:tc>
          <w:tcPr>
            <w:tcW w:w="1025" w:type="dxa"/>
          </w:tcPr>
          <w:p w:rsidR="00E64EC3" w:rsidRPr="00FB2328" w:rsidRDefault="00E64EC3" w:rsidP="006C4F9F">
            <w:pPr>
              <w:jc w:val="center"/>
              <w:rPr>
                <w:rFonts w:ascii="Times New Roman" w:hAnsi="Times New Roman" w:cs="Times New Roman"/>
                <w:b/>
                <w:color w:val="000000" w:themeColor="text1"/>
                <w:sz w:val="24"/>
                <w:szCs w:val="24"/>
              </w:rPr>
            </w:pPr>
            <w:r w:rsidRPr="00FB2328">
              <w:rPr>
                <w:rFonts w:ascii="Times New Roman" w:hAnsi="Times New Roman" w:cs="Times New Roman"/>
                <w:b/>
                <w:color w:val="000000" w:themeColor="text1"/>
                <w:sz w:val="24"/>
                <w:szCs w:val="24"/>
              </w:rPr>
              <w:t>Điều, khoản dự thảo</w:t>
            </w:r>
          </w:p>
        </w:tc>
        <w:tc>
          <w:tcPr>
            <w:tcW w:w="4111" w:type="dxa"/>
          </w:tcPr>
          <w:p w:rsidR="00E64EC3" w:rsidRPr="00FB2328" w:rsidRDefault="00E64EC3" w:rsidP="006C4F9F">
            <w:pPr>
              <w:jc w:val="center"/>
              <w:rPr>
                <w:rFonts w:ascii="Times New Roman" w:hAnsi="Times New Roman" w:cs="Times New Roman"/>
                <w:b/>
                <w:color w:val="000000" w:themeColor="text1"/>
                <w:sz w:val="24"/>
                <w:szCs w:val="24"/>
              </w:rPr>
            </w:pPr>
            <w:r w:rsidRPr="00FB2328">
              <w:rPr>
                <w:rFonts w:ascii="Times New Roman" w:hAnsi="Times New Roman" w:cs="Times New Roman"/>
                <w:b/>
                <w:color w:val="000000" w:themeColor="text1"/>
                <w:sz w:val="24"/>
                <w:szCs w:val="24"/>
              </w:rPr>
              <w:t>Nội dung quy định chủ yếu</w:t>
            </w:r>
          </w:p>
        </w:tc>
        <w:tc>
          <w:tcPr>
            <w:tcW w:w="4111" w:type="dxa"/>
          </w:tcPr>
          <w:p w:rsidR="00E64EC3" w:rsidRPr="00FB2328" w:rsidRDefault="00E64EC3" w:rsidP="006C4F9F">
            <w:pPr>
              <w:jc w:val="center"/>
              <w:rPr>
                <w:rFonts w:ascii="Times New Roman" w:hAnsi="Times New Roman" w:cs="Times New Roman"/>
                <w:b/>
                <w:color w:val="000000" w:themeColor="text1"/>
                <w:sz w:val="24"/>
                <w:szCs w:val="24"/>
              </w:rPr>
            </w:pPr>
            <w:r w:rsidRPr="00FB2328">
              <w:rPr>
                <w:rFonts w:ascii="Times New Roman" w:hAnsi="Times New Roman" w:cs="Times New Roman"/>
                <w:b/>
                <w:color w:val="000000" w:themeColor="text1"/>
                <w:sz w:val="24"/>
                <w:szCs w:val="24"/>
              </w:rPr>
              <w:t>Cơ sở, lý do quy định</w:t>
            </w:r>
          </w:p>
        </w:tc>
      </w:tr>
      <w:tr w:rsidR="006C4F9F" w:rsidRPr="00FB2328" w:rsidTr="006C4F9F">
        <w:tc>
          <w:tcPr>
            <w:tcW w:w="671" w:type="dxa"/>
            <w:vAlign w:val="center"/>
          </w:tcPr>
          <w:p w:rsidR="006C4F9F" w:rsidRPr="00FB2328" w:rsidRDefault="006C4F9F" w:rsidP="006C4F9F">
            <w:pPr>
              <w:rPr>
                <w:rFonts w:ascii="Times New Roman" w:eastAsia="Times New Roman" w:hAnsi="Times New Roman" w:cs="Times New Roman"/>
                <w:color w:val="000000" w:themeColor="text1"/>
                <w:sz w:val="24"/>
                <w:szCs w:val="24"/>
              </w:rPr>
            </w:pPr>
            <w:r w:rsidRPr="00FB2328">
              <w:rPr>
                <w:rFonts w:ascii="Times New Roman" w:eastAsia="Times New Roman" w:hAnsi="Times New Roman" w:cs="Times New Roman"/>
                <w:b/>
                <w:bCs/>
                <w:color w:val="000000" w:themeColor="text1"/>
                <w:sz w:val="24"/>
                <w:szCs w:val="24"/>
              </w:rPr>
              <w:t>1</w:t>
            </w:r>
          </w:p>
        </w:tc>
        <w:tc>
          <w:tcPr>
            <w:tcW w:w="1025" w:type="dxa"/>
            <w:vAlign w:val="center"/>
          </w:tcPr>
          <w:p w:rsidR="006C4F9F" w:rsidRPr="00FB2328" w:rsidRDefault="006C4F9F" w:rsidP="006C4F9F">
            <w:pPr>
              <w:rPr>
                <w:rFonts w:ascii="Times New Roman" w:eastAsia="Times New Roman" w:hAnsi="Times New Roman" w:cs="Times New Roman"/>
                <w:color w:val="000000" w:themeColor="text1"/>
                <w:sz w:val="24"/>
                <w:szCs w:val="24"/>
              </w:rPr>
            </w:pPr>
            <w:r w:rsidRPr="00FB2328">
              <w:rPr>
                <w:rFonts w:ascii="Times New Roman" w:eastAsia="Times New Roman" w:hAnsi="Times New Roman" w:cs="Times New Roman"/>
                <w:b/>
                <w:bCs/>
                <w:color w:val="000000" w:themeColor="text1"/>
                <w:sz w:val="24"/>
                <w:szCs w:val="24"/>
              </w:rPr>
              <w:t>Điều 1</w:t>
            </w:r>
          </w:p>
        </w:tc>
        <w:tc>
          <w:tcPr>
            <w:tcW w:w="4111" w:type="dxa"/>
            <w:vAlign w:val="center"/>
          </w:tcPr>
          <w:p w:rsidR="006C4F9F" w:rsidRPr="00FB2328" w:rsidRDefault="006C4F9F" w:rsidP="006C4F9F">
            <w:pPr>
              <w:rPr>
                <w:rFonts w:ascii="Times New Roman" w:eastAsia="Times New Roman" w:hAnsi="Times New Roman" w:cs="Times New Roman"/>
                <w:color w:val="000000" w:themeColor="text1"/>
                <w:sz w:val="24"/>
                <w:szCs w:val="24"/>
              </w:rPr>
            </w:pPr>
            <w:r w:rsidRPr="00FB2328">
              <w:rPr>
                <w:rFonts w:ascii="Times New Roman" w:eastAsia="Times New Roman" w:hAnsi="Times New Roman" w:cs="Times New Roman"/>
                <w:color w:val="000000" w:themeColor="text1"/>
                <w:sz w:val="24"/>
                <w:szCs w:val="24"/>
              </w:rPr>
              <w:t>Quy định phạm vi điều chỉnh của Quy định, tập trung vào hình thức hỗ trợ, định mức hỗ trợ, quản lý, thanh toán và quyết toán vốn đầu tư nguồn NSNN giao cho cộng đồng dân cư tự thực hiện dự án.</w:t>
            </w:r>
          </w:p>
        </w:tc>
        <w:tc>
          <w:tcPr>
            <w:tcW w:w="4111" w:type="dxa"/>
            <w:vAlign w:val="center"/>
          </w:tcPr>
          <w:p w:rsidR="006C4F9F" w:rsidRPr="00FB2328" w:rsidRDefault="006C4F9F" w:rsidP="006C4F9F">
            <w:pPr>
              <w:rPr>
                <w:rFonts w:ascii="Times New Roman" w:eastAsia="Times New Roman" w:hAnsi="Times New Roman" w:cs="Times New Roman"/>
                <w:color w:val="000000" w:themeColor="text1"/>
                <w:sz w:val="24"/>
                <w:szCs w:val="24"/>
              </w:rPr>
            </w:pPr>
            <w:r w:rsidRPr="00FB2328">
              <w:rPr>
                <w:rFonts w:ascii="Times New Roman" w:eastAsia="Times New Roman" w:hAnsi="Times New Roman" w:cs="Times New Roman"/>
                <w:color w:val="000000" w:themeColor="text1"/>
                <w:sz w:val="24"/>
                <w:szCs w:val="24"/>
              </w:rPr>
              <w:t>Xác định rõ phạm vi điều chỉnh, tránh mở rộng sang các nội dung không thuộc cơ chế giao cộng đồng dân cư tự thực hiện.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2</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2</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các cơ quan, đơn vị, tổ chức, cá nhân và cộng đồng dân cư có liên quan thuộc đối tượng áp dụng.</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Bảo đảm xác định đầy đủ các chủ thể tham gia quá trình quản lý, thực hiện và quyết toán dự án.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3</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3</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các nguyên tắc thực hiện: đúng mục tiêu, đối tượng, nội dung, nguồn vốn, kế hoạch vốn; công khai, minh bạch, tiết kiệm, hiệu quả; phát huy vai trò của cộng đồng dân cư.</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Làm căn cứ xuyên suốt cho việc hỗ trợ, quản lý, thanh toán và quyết toán vốn.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4</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4</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các hình thức hỗ trợ gồm hỗ trợ bằng tiền, hỗ trợ bằng hiện vật và hỗ trợ kết hợp bằng tiền và hiện vật.</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cơ chế hỗ trợ phù hợp với đặc điểm từng dự án và điều kiện thực tế của địa phương.</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5</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5</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nguyên tắc xác định định mức hỗ trợ trên cơ sở mục tiêu, đối tượng, nội dung chương trình; tổng mức đầu tư; khả năng cân đối ngân sách; kế hoạch vốn; nguồn lực cộng đồng và điều kiện thực tế.</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Làm căn cứ xác định mức hỗ trợ phù hợp, bảo đảm trong phạm vi nguồn lực ngân sách và khả năng huy động của cộng đồng.</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6</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6</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nguyên tắc quản lý vốn đầu tư; quản lý phần vốn NSNN hỗ trợ, vốn đối ứng của cộng đồng và các nguồn vốn hợp pháp khác.</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Bảo đảm các nguồn vốn được quản lý thống nhất, đúng mục đích, hạn chế thất thoát, lãng phí.</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7</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7</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việc mở tài khoản, đăng ký mã số dự án và thực hiện giao dịch tại Kho bạc Nhà nước.</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Làm rõ bước thực hiện ban đầu để dự án đủ điều kiện giao dịch và kiểm soát thanh toán vốn.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8</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8</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hồ sơ pháp lý của dự án làm căn cứ kiểm soát, thanh toán vốn.</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Bảo đảm trước khi tạm ứng, thanh toán, dự án có đầy đủ căn cứ pháp lý cần thiết.</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9</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9</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hồ sơ và việc tạm ứng vốn đầu tư; trường hợp hỗ trợ bằng tiền, hiện vật hoặc kết hợp.</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Tạo nguồn vốn để tổ chức thực hiện dự án, đồng thời bảo đảm kiểm soát việc sử dụng vốn tạm ứng.</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10</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10</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hồ sơ, căn cứ và việc thanh toán vốn theo khối lượng hoàn thành; thu hồi vốn tạm ứng và thanh toán đối với hỗ trợ bằng hiện vật.</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quy trình thanh toán, phù hợp với đặc thù dự án do cộng đồng dân cư tự thực hiện.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11</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11</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việc lập, gửi và xét duyệt quyết toán vốn đầu tư công theo niên độ.</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Bảo đảm số liệu vốn đầu tư được tổng hợp, đối chiếu và quyết toán hằng năm theo quy định.</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12</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12</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hồ sơ, thời hạn, trách nhiệm lập và thẩm tra, phê duyệt quyết toán dự án hoàn thành.</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Bảo đảm dự án sau khi hoàn thành được quyết toán đầy đủ, xác định chính xác giá trị vốn đầu tư được quyết toán.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13</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13</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trách nhiệm của Sở Tài chính trong hướng dẫn, theo dõi, kiểm tra, tổng hợp tình hình thực hiện.</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Xác định cơ quan đầu mối tham mưu UBND thành phố trong quản lý tài chính, thanh toán và quyết toán vốn.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14</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14</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trách nhiệm của các sở, ban, ngành có liên quan trong phạm vi chức năng, nhiệm vụ được giao.</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Bảo đảm phối hợp quản lý, hướng dẫn và kiểm tra việc thực hiện các dự án.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15</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15</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trách nhiệm của UBND cấp xã trong tổ chức thực hiện, quản lý vốn, kiểm tra, giám sát và công khai dự án.</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UBND cấp xã là cấp trực tiếp tổ chức thực hiện cơ chế giao cộng đồng dân cư tự thực hiện dự án.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16</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16</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trách nhiệm của phòng chuyên môn và Ban quản lý dự án đầu tư xây dựng cấp xã trong trường hợp được giao nhiệm vụ.</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Làm rõ trách nhiệm thực hiện nhiệm vụ quản lý dự án, tránh chồng chéo giữa Chủ đầu tư và bộ phận được giao nhiệm vụ.</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17</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17</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trách nhiệm của Ban phát triển thôn và cộng đồng dân cư trong tổ chức thực hiện, quản lý vốn, vật tư, hồ sơ, chứng từ, nghiệm thu và công khai.</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Xác định rõ trách nhiệm của chủ thể trực tiếp thực hiện dự án và hưởng lợi từ dự án.</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18</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18</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hiệu lực thi hành và xử lý các quy định trước đây liên quan đến nội dung được điều chỉnh.</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Bảo đảm tính liên tục, thống nhất của hệ thống quy định áp dụng trên địa bàn thành phố.</w:t>
            </w:r>
          </w:p>
        </w:tc>
      </w:tr>
      <w:tr w:rsidR="006C4F9F" w:rsidRPr="00382E24" w:rsidTr="006C4F9F">
        <w:tc>
          <w:tcPr>
            <w:tcW w:w="67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19</w:t>
            </w:r>
          </w:p>
        </w:tc>
        <w:tc>
          <w:tcPr>
            <w:tcW w:w="1025"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19</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trách nhiệm thi hành Quyết định.</w:t>
            </w:r>
          </w:p>
        </w:tc>
        <w:tc>
          <w:tcPr>
            <w:tcW w:w="4111" w:type="dxa"/>
            <w:vAlign w:val="center"/>
          </w:tcPr>
          <w:p w:rsidR="006C4F9F" w:rsidRPr="00382E24" w:rsidRDefault="006C4F9F" w:rsidP="006C4F9F">
            <w:pP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Xác định trách nhiệm của các cơ quan, đơn vị, địa phương, tổ chức và cá nhân trong triển khai thực hiện.</w:t>
            </w:r>
          </w:p>
        </w:tc>
      </w:tr>
    </w:tbl>
    <w:p w:rsidR="00FE646A" w:rsidRDefault="00FE646A" w:rsidP="00AB2266">
      <w:pPr>
        <w:spacing w:before="100" w:beforeAutospacing="1" w:after="100" w:afterAutospacing="1" w:line="240" w:lineRule="auto"/>
        <w:rPr>
          <w:rFonts w:ascii="Times New Roman" w:eastAsia="Times New Roman" w:hAnsi="Times New Roman" w:cs="Times New Roman"/>
          <w:color w:val="000000" w:themeColor="text1"/>
          <w:sz w:val="24"/>
          <w:szCs w:val="24"/>
        </w:rPr>
      </w:pPr>
    </w:p>
    <w:p w:rsidR="00FB2328" w:rsidRDefault="00FB2328" w:rsidP="00AB2266">
      <w:pPr>
        <w:spacing w:before="100" w:beforeAutospacing="1" w:after="100" w:afterAutospacing="1" w:line="240" w:lineRule="auto"/>
        <w:rPr>
          <w:rFonts w:ascii="Times New Roman" w:eastAsia="Times New Roman" w:hAnsi="Times New Roman" w:cs="Times New Roman"/>
          <w:color w:val="000000" w:themeColor="text1"/>
          <w:sz w:val="24"/>
          <w:szCs w:val="24"/>
        </w:rPr>
      </w:pPr>
    </w:p>
    <w:p w:rsidR="00FB2328" w:rsidRDefault="00FB2328" w:rsidP="00AB2266">
      <w:pPr>
        <w:spacing w:before="100" w:beforeAutospacing="1" w:after="100" w:afterAutospacing="1" w:line="240" w:lineRule="auto"/>
        <w:rPr>
          <w:rFonts w:ascii="Times New Roman" w:eastAsia="Times New Roman" w:hAnsi="Times New Roman" w:cs="Times New Roman"/>
          <w:color w:val="000000" w:themeColor="text1"/>
          <w:sz w:val="24"/>
          <w:szCs w:val="24"/>
        </w:rPr>
      </w:pPr>
    </w:p>
    <w:p w:rsidR="00FB2328" w:rsidRPr="00382E24" w:rsidRDefault="00FB2328" w:rsidP="00AB2266">
      <w:pPr>
        <w:spacing w:before="100" w:beforeAutospacing="1" w:after="100" w:afterAutospacing="1" w:line="240" w:lineRule="auto"/>
        <w:rPr>
          <w:rFonts w:ascii="Times New Roman" w:eastAsia="Times New Roman" w:hAnsi="Times New Roman" w:cs="Times New Roman"/>
          <w:color w:val="000000" w:themeColor="text1"/>
          <w:sz w:val="24"/>
          <w:szCs w:val="24"/>
        </w:rPr>
      </w:pPr>
    </w:p>
    <w:p w:rsidR="00FE646A" w:rsidRPr="00382E24" w:rsidRDefault="00FE646A" w:rsidP="00AB2266">
      <w:pPr>
        <w:spacing w:before="100" w:beforeAutospacing="1" w:after="100" w:afterAutospacing="1" w:line="240" w:lineRule="auto"/>
        <w:rPr>
          <w:rFonts w:ascii="Times New Roman" w:eastAsia="Times New Roman" w:hAnsi="Times New Roman" w:cs="Times New Roman"/>
          <w:color w:val="000000" w:themeColor="text1"/>
          <w:sz w:val="24"/>
          <w:szCs w:val="24"/>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087"/>
      </w:tblGrid>
      <w:tr w:rsidR="00FB2328" w:rsidRPr="00382E24" w:rsidTr="00DC666F">
        <w:tc>
          <w:tcPr>
            <w:tcW w:w="3114" w:type="dxa"/>
          </w:tcPr>
          <w:p w:rsidR="00FB2328" w:rsidRPr="00382E24" w:rsidRDefault="00FB2328" w:rsidP="00DC666F">
            <w:pPr>
              <w:spacing w:before="100" w:beforeAutospacing="1" w:after="100" w:afterAutospacing="1"/>
              <w:jc w:val="center"/>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UBND THÀNH PHỐ HUÊ</w:t>
            </w:r>
          </w:p>
        </w:tc>
        <w:tc>
          <w:tcPr>
            <w:tcW w:w="7087" w:type="dxa"/>
          </w:tcPr>
          <w:p w:rsidR="00FB2328" w:rsidRPr="00382E24" w:rsidRDefault="00FB2328" w:rsidP="00DC666F">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CỘNG HÒA XÃ HỘI CHỦ NGHĨA VIỆT NAM</w:t>
            </w:r>
          </w:p>
        </w:tc>
      </w:tr>
      <w:tr w:rsidR="00FB2328" w:rsidRPr="00382E24" w:rsidTr="00DC666F">
        <w:tc>
          <w:tcPr>
            <w:tcW w:w="3114" w:type="dxa"/>
          </w:tcPr>
          <w:p w:rsidR="00FB2328" w:rsidRPr="00382E24" w:rsidRDefault="00FB2328" w:rsidP="00DC666F">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SỞ TÀI CHÍNH</w:t>
            </w:r>
          </w:p>
        </w:tc>
        <w:tc>
          <w:tcPr>
            <w:tcW w:w="7087" w:type="dxa"/>
          </w:tcPr>
          <w:p w:rsidR="00FB2328" w:rsidRPr="00382E24" w:rsidRDefault="00FB2328" w:rsidP="00DC666F">
            <w:pPr>
              <w:spacing w:before="100" w:beforeAutospacing="1" w:after="100" w:afterAutospacing="1"/>
              <w:jc w:val="center"/>
              <w:rPr>
                <w:rFonts w:ascii="Times New Roman" w:eastAsia="Times New Roman" w:hAnsi="Times New Roman" w:cs="Times New Roman"/>
                <w:b/>
                <w:color w:val="000000" w:themeColor="text1"/>
                <w:sz w:val="24"/>
                <w:szCs w:val="24"/>
              </w:rPr>
            </w:pPr>
            <w:r w:rsidRPr="00382E24">
              <w:rPr>
                <w:rFonts w:ascii="Times New Roman" w:eastAsia="Times New Roman" w:hAnsi="Times New Roman" w:cs="Times New Roman"/>
                <w:b/>
                <w:color w:val="000000" w:themeColor="text1"/>
                <w:sz w:val="24"/>
                <w:szCs w:val="24"/>
              </w:rPr>
              <w:t>Độc lập - Tự do - Hạnh phúc</w:t>
            </w:r>
          </w:p>
        </w:tc>
      </w:tr>
    </w:tbl>
    <w:p w:rsidR="00FB2328" w:rsidRPr="00382E24" w:rsidRDefault="00FB2328" w:rsidP="00FB2328">
      <w:pPr>
        <w:spacing w:before="100" w:beforeAutospacing="1" w:after="100" w:afterAutospacing="1" w:line="240" w:lineRule="auto"/>
        <w:ind w:firstLine="720"/>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8480" behindDoc="0" locked="0" layoutInCell="1" allowOverlap="1" wp14:anchorId="7E4363FE" wp14:editId="7A60114A">
                <wp:simplePos x="0" y="0"/>
                <wp:positionH relativeFrom="column">
                  <wp:posOffset>3625214</wp:posOffset>
                </wp:positionH>
                <wp:positionV relativeFrom="paragraph">
                  <wp:posOffset>95885</wp:posOffset>
                </wp:positionV>
                <wp:extent cx="13620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13620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FCCB897" id="Straight Connector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85.45pt,7.55pt" to="392.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" strokecolor="windowText" strokeweight=".5pt">
                <v:stroke joinstyle="miter"/>
              </v:line>
            </w:pict>
          </mc:Fallback>
        </mc:AlternateContent>
      </w:r>
      <w:r w:rsidRPr="00382E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7456" behindDoc="0" locked="0" layoutInCell="1" allowOverlap="1" wp14:anchorId="52843433" wp14:editId="34D36D28">
                <wp:simplePos x="0" y="0"/>
                <wp:positionH relativeFrom="column">
                  <wp:posOffset>548640</wp:posOffset>
                </wp:positionH>
                <wp:positionV relativeFrom="paragraph">
                  <wp:posOffset>114935</wp:posOffset>
                </wp:positionV>
                <wp:extent cx="8858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8858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15B563C"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3.2pt,9.05pt" to="112.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" strokecolor="windowText" strokeweight=".5pt">
                <v:stroke joinstyle="miter"/>
              </v:line>
            </w:pict>
          </mc:Fallback>
        </mc:AlternateContent>
      </w:r>
      <w:r>
        <w:rPr>
          <w:rFonts w:ascii="Times New Roman" w:eastAsia="Times New Roman" w:hAnsi="Times New Roman" w:cs="Times New Roman"/>
          <w:noProof/>
          <w:color w:val="000000" w:themeColor="text1"/>
          <w:sz w:val="28"/>
          <w:szCs w:val="28"/>
        </w:rPr>
        <w:t xml:space="preserve">                                 </w:t>
      </w:r>
      <w:r w:rsidRPr="00382E24">
        <w:rPr>
          <w:rFonts w:ascii="Times New Roman" w:eastAsia="Times New Roman" w:hAnsi="Times New Roman" w:cs="Times New Roman"/>
          <w:color w:val="000000" w:themeColor="text1"/>
          <w:sz w:val="28"/>
          <w:szCs w:val="28"/>
        </w:rPr>
        <w:t xml:space="preserve">                                  Huế, ngày     tháng      năm 2026</w:t>
      </w:r>
    </w:p>
    <w:p w:rsidR="00AB2266" w:rsidRPr="00FB2328" w:rsidRDefault="00AB2266" w:rsidP="00FB2328">
      <w:pPr>
        <w:spacing w:before="100" w:beforeAutospacing="1" w:after="100" w:afterAutospacing="1" w:line="240" w:lineRule="auto"/>
        <w:ind w:firstLine="851"/>
        <w:jc w:val="center"/>
        <w:outlineLvl w:val="0"/>
        <w:rPr>
          <w:rFonts w:ascii="Times New Roman" w:eastAsia="Times New Roman" w:hAnsi="Times New Roman" w:cs="Times New Roman"/>
          <w:b/>
          <w:bCs/>
          <w:color w:val="000000" w:themeColor="text1"/>
          <w:kern w:val="36"/>
          <w:sz w:val="28"/>
          <w:szCs w:val="28"/>
        </w:rPr>
      </w:pPr>
      <w:r w:rsidRPr="00FB2328">
        <w:rPr>
          <w:rFonts w:ascii="Times New Roman" w:eastAsia="Times New Roman" w:hAnsi="Times New Roman" w:cs="Times New Roman"/>
          <w:b/>
          <w:bCs/>
          <w:color w:val="000000" w:themeColor="text1"/>
          <w:kern w:val="36"/>
          <w:sz w:val="28"/>
          <w:szCs w:val="28"/>
        </w:rPr>
        <w:t>BẢN SO SÁNH, THUYẾT MINH DỰ THẢO QUYẾT ĐỊNH</w:t>
      </w:r>
    </w:p>
    <w:p w:rsidR="00AB2266" w:rsidRPr="00FB2328" w:rsidRDefault="00AB2266" w:rsidP="00FB2328">
      <w:pPr>
        <w:spacing w:before="100" w:beforeAutospacing="1" w:after="100" w:afterAutospacing="1" w:line="240" w:lineRule="auto"/>
        <w:ind w:firstLine="851"/>
        <w:jc w:val="center"/>
        <w:rPr>
          <w:rFonts w:ascii="Times New Roman" w:eastAsia="Times New Roman" w:hAnsi="Times New Roman" w:cs="Times New Roman"/>
          <w:b/>
          <w:bCs/>
          <w:color w:val="000000" w:themeColor="text1"/>
          <w:sz w:val="28"/>
          <w:szCs w:val="28"/>
        </w:rPr>
      </w:pPr>
      <w:r w:rsidRPr="00FB2328">
        <w:rPr>
          <w:rFonts w:ascii="Times New Roman" w:eastAsia="Times New Roman" w:hAnsi="Times New Roman" w:cs="Times New Roman"/>
          <w:b/>
          <w:bCs/>
          <w:color w:val="000000" w:themeColor="text1"/>
          <w:sz w:val="28"/>
          <w:szCs w:val="28"/>
        </w:rPr>
        <w:t>QUY ĐỊNH VỀ HÌNH THỨC HỖ TRỢ, ĐỊNH MỨC HỖ TRỢ, QUẢN LÝ, THANH TOÁN, QUYẾT TOÁN VỐN ĐẦU TƯ NGUỒN NGÂN SÁCH NHÀ NƯỚC GIAO CHO CỘNG ĐỒNG DÂN CƯ TỰ THỰC HIỆN ĐỐI VỚI CÁC DỰ ÁN THUỘC CHƯƠNG TRÌNH MỤC TIÊU QUỐC GIA TRÊN ĐỊA BÀN THÀNH PHỐ HUẾ</w:t>
      </w:r>
    </w:p>
    <w:p w:rsidR="00FB2328" w:rsidRPr="00FB2328" w:rsidRDefault="00FB2328" w:rsidP="00FB2328">
      <w:pPr>
        <w:spacing w:before="100" w:beforeAutospacing="1" w:after="100" w:afterAutospacing="1" w:line="240" w:lineRule="auto"/>
        <w:ind w:firstLine="851"/>
        <w:jc w:val="center"/>
        <w:rPr>
          <w:rFonts w:ascii="Times New Roman" w:eastAsia="Times New Roman" w:hAnsi="Times New Roman" w:cs="Times New Roman"/>
          <w:bCs/>
          <w:color w:val="000000" w:themeColor="text1"/>
          <w:sz w:val="28"/>
          <w:szCs w:val="28"/>
        </w:rPr>
      </w:pPr>
      <w:r w:rsidRPr="00FB2328">
        <w:rPr>
          <w:rFonts w:ascii="Times New Roman" w:eastAsia="Times New Roman" w:hAnsi="Times New Roman" w:cs="Times New Roman"/>
          <w:bCs/>
          <w:color w:val="000000" w:themeColor="text1"/>
          <w:sz w:val="28"/>
          <w:szCs w:val="28"/>
        </w:rPr>
        <w:t>(Kèm theo Tờ trình số         /TTr-STC ngày tháng   năm của Sở Tài chính)</w:t>
      </w:r>
    </w:p>
    <w:p w:rsidR="00AB2266" w:rsidRPr="00FB2328" w:rsidRDefault="00AB2266" w:rsidP="00FB2328">
      <w:pPr>
        <w:spacing w:before="100" w:beforeAutospacing="1" w:after="100" w:afterAutospacing="1" w:line="240" w:lineRule="auto"/>
        <w:ind w:firstLine="851"/>
        <w:outlineLvl w:val="1"/>
        <w:rPr>
          <w:rFonts w:ascii="Times New Roman" w:eastAsia="Times New Roman" w:hAnsi="Times New Roman" w:cs="Times New Roman"/>
          <w:b/>
          <w:bCs/>
          <w:color w:val="000000" w:themeColor="text1"/>
          <w:sz w:val="28"/>
          <w:szCs w:val="28"/>
        </w:rPr>
      </w:pPr>
      <w:r w:rsidRPr="00FB2328">
        <w:rPr>
          <w:rFonts w:ascii="Times New Roman" w:eastAsia="Times New Roman" w:hAnsi="Times New Roman" w:cs="Times New Roman"/>
          <w:b/>
          <w:bCs/>
          <w:color w:val="000000" w:themeColor="text1"/>
          <w:sz w:val="28"/>
          <w:szCs w:val="28"/>
        </w:rPr>
        <w:t>1. Đối với văn bản sửa đổi, bổ sung, thay thế</w:t>
      </w:r>
    </w:p>
    <w:p w:rsidR="00AB2266" w:rsidRPr="00FB2328" w:rsidRDefault="00AB2266" w:rsidP="00FB2328">
      <w:pPr>
        <w:spacing w:before="100" w:beforeAutospacing="1" w:after="100" w:afterAutospacing="1" w:line="240" w:lineRule="auto"/>
        <w:ind w:firstLine="851"/>
        <w:rPr>
          <w:rFonts w:ascii="Times New Roman" w:eastAsia="Times New Roman" w:hAnsi="Times New Roman" w:cs="Times New Roman"/>
          <w:color w:val="000000" w:themeColor="text1"/>
          <w:sz w:val="28"/>
          <w:szCs w:val="28"/>
        </w:rPr>
      </w:pPr>
      <w:r w:rsidRPr="00FB2328">
        <w:rPr>
          <w:rFonts w:ascii="Times New Roman" w:eastAsia="Times New Roman" w:hAnsi="Times New Roman" w:cs="Times New Roman"/>
          <w:color w:val="000000" w:themeColor="text1"/>
          <w:sz w:val="28"/>
          <w:szCs w:val="28"/>
        </w:rPr>
        <w:t>Dự thảo Quyết định được xây dựng để quy định thống nhất việc thực hiện cơ chế giao cộng đồng dân cư tự thực hiện dự án thuộc chương trình mục tiêu quốc gia trên địa bàn thành phố Huế, trên cơ sở kế thừa những nội dung còn phù hợp của Quyết định số 29/2023/QĐ-UBND</w:t>
      </w:r>
      <w:r w:rsidR="00626E1C">
        <w:rPr>
          <w:rFonts w:ascii="Times New Roman" w:eastAsia="Times New Roman" w:hAnsi="Times New Roman" w:cs="Times New Roman"/>
          <w:color w:val="000000" w:themeColor="text1"/>
          <w:sz w:val="28"/>
          <w:szCs w:val="28"/>
        </w:rPr>
        <w:t xml:space="preserve"> ngày 11 tháng 7 năm 2023 của UBND tỉnh Thừa Thiên Huế</w:t>
      </w:r>
      <w:r w:rsidRPr="00FB2328">
        <w:rPr>
          <w:rFonts w:ascii="Times New Roman" w:eastAsia="Times New Roman" w:hAnsi="Times New Roman" w:cs="Times New Roman"/>
          <w:color w:val="000000" w:themeColor="text1"/>
          <w:sz w:val="28"/>
          <w:szCs w:val="28"/>
        </w:rPr>
        <w:t xml:space="preserve"> và cập nhật, cụ thể hóa theo các quy định pháp luật hiện hành.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4"/>
        <w:gridCol w:w="2961"/>
        <w:gridCol w:w="4063"/>
      </w:tblGrid>
      <w:tr w:rsidR="00AB2266" w:rsidRPr="00382E24" w:rsidTr="00AB2266">
        <w:trPr>
          <w:tblCellSpacing w:w="15" w:type="dxa"/>
        </w:trPr>
        <w:tc>
          <w:tcPr>
            <w:tcW w:w="0" w:type="auto"/>
            <w:vAlign w:val="center"/>
            <w:hideMark/>
          </w:tcPr>
          <w:p w:rsidR="00AB2266" w:rsidRPr="00382E24" w:rsidRDefault="00AB2266" w:rsidP="00AB2266">
            <w:pPr>
              <w:spacing w:after="0" w:line="240" w:lineRule="auto"/>
              <w:jc w:val="center"/>
              <w:rPr>
                <w:rFonts w:ascii="Times New Roman" w:eastAsia="Times New Roman" w:hAnsi="Times New Roman" w:cs="Times New Roman"/>
                <w:b/>
                <w:bCs/>
                <w:color w:val="000000" w:themeColor="text1"/>
                <w:sz w:val="24"/>
                <w:szCs w:val="24"/>
              </w:rPr>
            </w:pPr>
            <w:r w:rsidRPr="00382E24">
              <w:rPr>
                <w:rFonts w:ascii="Times New Roman" w:eastAsia="Times New Roman" w:hAnsi="Times New Roman" w:cs="Times New Roman"/>
                <w:b/>
                <w:bCs/>
                <w:color w:val="000000" w:themeColor="text1"/>
                <w:sz w:val="24"/>
                <w:szCs w:val="24"/>
              </w:rPr>
              <w:t>VĂN BẢN QUY PHẠM PHÁP LUẬT HIỆN HÀNH</w:t>
            </w:r>
          </w:p>
        </w:tc>
        <w:tc>
          <w:tcPr>
            <w:tcW w:w="0" w:type="auto"/>
            <w:vAlign w:val="center"/>
            <w:hideMark/>
          </w:tcPr>
          <w:p w:rsidR="00AB2266" w:rsidRPr="00382E24" w:rsidRDefault="00AB2266" w:rsidP="00AB2266">
            <w:pPr>
              <w:spacing w:after="0" w:line="240" w:lineRule="auto"/>
              <w:jc w:val="center"/>
              <w:rPr>
                <w:rFonts w:ascii="Times New Roman" w:eastAsia="Times New Roman" w:hAnsi="Times New Roman" w:cs="Times New Roman"/>
                <w:b/>
                <w:bCs/>
                <w:color w:val="000000" w:themeColor="text1"/>
                <w:sz w:val="24"/>
                <w:szCs w:val="24"/>
              </w:rPr>
            </w:pPr>
            <w:r w:rsidRPr="00382E24">
              <w:rPr>
                <w:rFonts w:ascii="Times New Roman" w:eastAsia="Times New Roman" w:hAnsi="Times New Roman" w:cs="Times New Roman"/>
                <w:b/>
                <w:bCs/>
                <w:color w:val="000000" w:themeColor="text1"/>
                <w:sz w:val="24"/>
                <w:szCs w:val="24"/>
              </w:rPr>
              <w:t>DỰ THẢO QUYẾT ĐỊNH</w:t>
            </w:r>
          </w:p>
        </w:tc>
        <w:tc>
          <w:tcPr>
            <w:tcW w:w="0" w:type="auto"/>
            <w:vAlign w:val="center"/>
            <w:hideMark/>
          </w:tcPr>
          <w:p w:rsidR="00AB2266" w:rsidRPr="00382E24" w:rsidRDefault="00AB2266" w:rsidP="00AB2266">
            <w:pPr>
              <w:spacing w:after="0" w:line="240" w:lineRule="auto"/>
              <w:jc w:val="center"/>
              <w:rPr>
                <w:rFonts w:ascii="Times New Roman" w:eastAsia="Times New Roman" w:hAnsi="Times New Roman" w:cs="Times New Roman"/>
                <w:b/>
                <w:bCs/>
                <w:color w:val="000000" w:themeColor="text1"/>
                <w:sz w:val="24"/>
                <w:szCs w:val="24"/>
              </w:rPr>
            </w:pPr>
            <w:r w:rsidRPr="00382E24">
              <w:rPr>
                <w:rFonts w:ascii="Times New Roman" w:eastAsia="Times New Roman" w:hAnsi="Times New Roman" w:cs="Times New Roman"/>
                <w:b/>
                <w:bCs/>
                <w:color w:val="000000" w:themeColor="text1"/>
                <w:sz w:val="24"/>
                <w:szCs w:val="24"/>
              </w:rPr>
              <w:t>THUYẾT MINH</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Quyết định số 29/2023/QĐ-UBND của UBND tỉnh Thừa Thiên Huế</w:t>
            </w:r>
            <w:r w:rsidRPr="00382E24">
              <w:rPr>
                <w:rFonts w:ascii="Times New Roman" w:eastAsia="Times New Roman" w:hAnsi="Times New Roman" w:cs="Times New Roman"/>
                <w:color w:val="000000" w:themeColor="text1"/>
                <w:sz w:val="24"/>
                <w:szCs w:val="24"/>
              </w:rPr>
              <w:t xml:space="preserve"> quy định về cơ chế quản lý, tổ chức thực hiện các chương trình mục tiêu quốc gia trên địa bàn tỉnh.</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 Phạm vi điều chỉnh</w:t>
            </w:r>
            <w:r w:rsidRPr="00382E24">
              <w:rPr>
                <w:rFonts w:ascii="Times New Roman" w:eastAsia="Times New Roman" w:hAnsi="Times New Roman" w:cs="Times New Roman"/>
                <w:color w:val="000000" w:themeColor="text1"/>
                <w:sz w:val="24"/>
                <w:szCs w:val="24"/>
              </w:rPr>
              <w:t xml:space="preserve"> Quy định về hình thức hỗ trợ, định mức hỗ trợ, quản lý, thanh toán, quyết toán vốn đầu tư nguồn NSNN giao cho cộng đồng dân cư tự thực hiện đối với các dự án thuộc chương trình mục tiêu quốc gia trên địa bàn thành phố Huế.</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Kế thừa nội dung về cơ chế giao cộng đồng dân cư tự thực hiện dự án; đồng thời xác định rõ hơn phạm vi điều chỉnh của Quy định, tập trung vào các nội dung về hỗ trợ, quản lý, thanh toán và quyết toán vốn đầu tư. Việc quy định cụ thể nhằm phù hợp với yêu cầu quản lý vốn đầu tư trong điều kiện tổ chức chính quyền địa phương hiện nay.</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xác định các cơ quan, đơn vị và đối tượng tham gia thực hiện chương trình mục tiêu quốc gia.</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2. Đối tượng áp dụng</w:t>
            </w:r>
            <w:r w:rsidRPr="00382E24">
              <w:rPr>
                <w:rFonts w:ascii="Times New Roman" w:eastAsia="Times New Roman" w:hAnsi="Times New Roman" w:cs="Times New Roman"/>
                <w:color w:val="000000" w:themeColor="text1"/>
                <w:sz w:val="24"/>
                <w:szCs w:val="24"/>
              </w:rPr>
              <w:t xml:space="preserve"> Quy định đối với các cơ quan, đơn vị, tổ chức, cá nhân và cộng đồng dân cư có liên quan đến việc quản lý, thực hiện, hỗ trợ, thanh toán và quyết toán vốn đầu tư.</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Kế thừa đối tượng áp dụng; đồng thời bổ sung, làm rõ các chủ thể trực tiếp tham gia quản lý và thực hiện dự án, bảo đảm xác định đầy đủ trách nhiệm trong quá trình thực hiện.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yêu cầu quản lý vốn đúng mục tiêu, đúng đối tượng, công khai, minh bạch và phát huy vai trò của cộng đồng.</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3. Nguyên tắc thực hiện</w:t>
            </w:r>
            <w:r w:rsidRPr="00382E24">
              <w:rPr>
                <w:rFonts w:ascii="Times New Roman" w:eastAsia="Times New Roman" w:hAnsi="Times New Roman" w:cs="Times New Roman"/>
                <w:color w:val="000000" w:themeColor="text1"/>
                <w:sz w:val="24"/>
                <w:szCs w:val="24"/>
              </w:rPr>
              <w:t xml:space="preserve"> Quy định nguyên tắc quản lý, sử dụng vốn; bảo đảm đúng mục tiêu, đối tượng, nội dung, nguồn vốn, kế hoạch vốn; công khai, minh bạch, tiết kiệm, hiệu quả.</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Kế thừa các nguyên tắc quản lý vốn hiện hành và cụ thể hóa để phù hợp với đặc thù dự án do cộng đồng dân cư tự thực hiện.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cho phép thực hiện hỗ trợ theo cơ chế của chương trình mục tiêu quốc gia.</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4. Hình thức hỗ trợ</w:t>
            </w:r>
            <w:r w:rsidRPr="00382E24">
              <w:rPr>
                <w:rFonts w:ascii="Times New Roman" w:eastAsia="Times New Roman" w:hAnsi="Times New Roman" w:cs="Times New Roman"/>
                <w:color w:val="000000" w:themeColor="text1"/>
                <w:sz w:val="24"/>
                <w:szCs w:val="24"/>
              </w:rPr>
              <w:t xml:space="preserve"> Hỗ trợ bằng tiền; hỗ trợ bằng hiện vật; hỗ trợ kết hợp bằng tiền và hiện vật.</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hình thức hỗ trợ để làm căn cứ cho cơ quan quyết định đầu tư xác định phương thức hỗ trợ phù hợp với từng dự án và điều kiện thực tế.</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có nguyên tắc hỗ trợ từ ngân sách nhà nước và huy động nguồn lực cộng đồng.</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5. Nguyên tắc xác định định mức hỗ trợ</w:t>
            </w:r>
            <w:r w:rsidRPr="00382E24">
              <w:rPr>
                <w:rFonts w:ascii="Times New Roman" w:eastAsia="Times New Roman" w:hAnsi="Times New Roman" w:cs="Times New Roman"/>
                <w:color w:val="000000" w:themeColor="text1"/>
                <w:sz w:val="24"/>
                <w:szCs w:val="24"/>
              </w:rPr>
              <w:t xml:space="preserve"> Xác định trên cơ sở mục tiêu, đối tượng, nội dung chương trình; tổng mức đầu tư; khả năng cân đối ngân sách; kế hoạch vốn; khả năng huy động nguồn lực của cộng đồng và điều kiện thực tế.</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Kế thừa nguyên tắc hỗ trợ, đồng thời cụ thể hóa các căn cứ xác định định mức hỗ trợ để tránh áp dụng tùy nghi giữa các địa phương, dự án.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quy định việc quản lý, sử dụng nguồn vốn theo quy định chung của pháp luật.</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6. Quản lý vốn đầu tư</w:t>
            </w:r>
            <w:r w:rsidRPr="00382E24">
              <w:rPr>
                <w:rFonts w:ascii="Times New Roman" w:eastAsia="Times New Roman" w:hAnsi="Times New Roman" w:cs="Times New Roman"/>
                <w:color w:val="000000" w:themeColor="text1"/>
                <w:sz w:val="24"/>
                <w:szCs w:val="24"/>
              </w:rPr>
              <w:t xml:space="preserve"> Quy định quản lý nguồn vốn NSNN hỗ trợ, vốn đối ứng của cộng đồng và các nguồn vốn hợp pháp khác.</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trách nhiệm quản lý từng nguồn vốn; bảo đảm toàn bộ nguồn lực thực hiện dự án được theo dõi, tổng hợp và phản ánh trong hồ sơ quyết toán.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Các quy định hiện hành về quản lý vốn đầu tư công yêu cầu dự án phải có tài khoản giao dịch và mã số dự án để thực hiện kiểm soát thanh toán.</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7. Mở tài khoản, đăng ký mã số dự án</w:t>
            </w:r>
            <w:r w:rsidRPr="00382E24">
              <w:rPr>
                <w:rFonts w:ascii="Times New Roman" w:eastAsia="Times New Roman" w:hAnsi="Times New Roman" w:cs="Times New Roman"/>
                <w:color w:val="000000" w:themeColor="text1"/>
                <w:sz w:val="24"/>
                <w:szCs w:val="24"/>
              </w:rPr>
              <w:t xml:space="preserve"> Quy định trách nhiệm thực hiện thủ tục đăng ký mã số và mở tài khoản giao dịch tại Kho bạc Nhà nước.</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bước thực hiện ban đầu của dự án, tạo điều kiện để Kho bạc Nhà nước kiểm soát và thanh toán vốn theo quy định.</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Hồ sơ pháp lý dự án thực hiện theo quy định về quản lý, thanh toán vốn đầu tư công.</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8. Hồ sơ pháp lý của dự án</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Hệ thống hóa các hồ sơ cần thiết để thực hiện kiểm soát, thanh toán vốn; phù hợp với đặc thù dự án giao cộng đồng dân cư tự thực hiện.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về tạm ứng vốn đầu tư công thực hiện theo pháp luật về quản lý, thanh toán vốn đầu tư.</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9. Tạm ứng vốn đầu tư</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thành phần hồ sơ tạm ứng và trách nhiệm của Chủ đầu tư trong việc kiểm tra, hoàn thiện hồ sơ trước khi gửi Kho bạc Nhà nước.</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Việc thanh toán vốn đầu tư thực hiện theo khối lượng hoàn thành và hồ sơ được kiểm soát.</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10. Thanh toán vốn đầu tư</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hồ sơ, căn cứ thanh toán, thu hồi tạm ứng và thanh toán đối với trường hợp hỗ trợ bằng hiện vật, phù hợp với đặc thù dự án cộng đồng dân cư tự thực hiện.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Quyết toán vốn đầu tư theo niên độ thực hiện theo quy định của pháp luật về ngân sách và đầu tư công.</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11. Quyết toán vốn đầu tư theo niên độ</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Kế thừa quy định chung và xác định trách nhiệm của Chủ đầu tư trong việc lập, gửi và đối chiếu số liệu quyết toán hằng năm.</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Quyết toán dự án hoàn thành thực hiện theo quy định pháp luật về quyết toán vốn đầu tư dự án hoàn thành.</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12. Quyết toán dự án hoàn thành</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hồ sơ, thời hạn và trách nhiệm lập quyết toán dự án hoàn thành; bảo đảm phù hợp với Nghị định số 193/2026/NĐ-CP và các văn bản hướng dẫn của Bộ Tài chính.</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phân công trách nhiệm quản lý chương trình mục tiêu quốc gia cho các sở, ngành.</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13. Trách nhiệm của Sở Tài chính</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Xác định Sở Tài chính là cơ quan tham mưu về tài chính, ngân sách, quản lý, thanh toán và quyết toán vốn; hướng dẫn, theo dõi, kiểm tra và tổng hợp tình hình thực hiện.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xác định trách nhiệm phối hợp của các cơ quan chuyên môn.</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14. Trách nhiệm của các sở, ban, ngành</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Kế thừa trách nhiệm phối hợp và cụ thể hóa theo chức năng, nhiệm vụ của từng cơ quan trong tổ chức thực hiện chương trình.</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UBND cấp xã có trách nhiệm tổ chức thực hiện chương trình mục tiêu quốc gia tại địa bàn.</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15. Trách nhiệm của UBND cấp xã</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Làm rõ trách nhiệm trực tiếp của UBND cấp xã trong lựa chọn, tổ chức, quản lý, kiểm tra, giám sát, công khai và quyết toán dự án.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Chưa quy định đầy đủ, cụ thể trách nhiệm của từng bộ phận chuyên môn ở cấp xã trong cơ chế cộng đồng tự thực hiện.</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16. Trách nhiệm của phòng chuyên môn, Ban quản lý dự án đầu tư xây dựng cấp xã</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Bổ sung, cụ thể hóa trách nhiệm của bộ phận được giao nhiệm vụ quản lý dự án; bảo đảm không chồng chéo với trách nhiệm của Chủ đầu tư và Ban phát triển thôn.</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xác định Ban phát triển thôn, cộng đồng dân cư tham gia tổ chức thực hiện dự án.</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17. Trách nhiệm của Ban phát triển thôn và cộng đồng dân cư</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Cụ thể hóa trách nhiệm trực tiếp của Ban phát triển thôn và cộng đồng dân cư trong tổ chức thực hiện, quản lý vốn, vật tư, hiện vật, hồ sơ, chứng từ, nghiệm thu và công khai.</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về hiệu lực và xử lý văn bản có liên quan.</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18. Hiệu lực thi hành</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thời điểm có hiệu lực và xử lý các quy định trước đây để bảo đảm thống nhất trong áp dụng.</w:t>
            </w:r>
          </w:p>
        </w:tc>
      </w:tr>
      <w:tr w:rsidR="00AB2266" w:rsidRPr="00382E24" w:rsidTr="00AB2266">
        <w:trPr>
          <w:tblCellSpacing w:w="15" w:type="dxa"/>
        </w:trPr>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hiện hành về trách nhiệm thi hành.</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b/>
                <w:bCs/>
                <w:color w:val="000000" w:themeColor="text1"/>
                <w:sz w:val="24"/>
                <w:szCs w:val="24"/>
              </w:rPr>
              <w:t>Điều 19. Tổ chức thực hiện</w:t>
            </w:r>
          </w:p>
        </w:tc>
        <w:tc>
          <w:tcPr>
            <w:tcW w:w="0" w:type="auto"/>
            <w:vAlign w:val="center"/>
            <w:hideMark/>
          </w:tcPr>
          <w:p w:rsidR="00AB2266" w:rsidRPr="00382E24" w:rsidRDefault="00AB2266" w:rsidP="00AB2266">
            <w:pPr>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Quy định trách nhiệm của các cơ quan, đơn vị, địa phương và tổ chức, cá nhân có liên quan trong việc thi hành Quyết định.</w:t>
            </w:r>
          </w:p>
        </w:tc>
      </w:tr>
    </w:tbl>
    <w:p w:rsidR="007D79B7" w:rsidRDefault="007D79B7" w:rsidP="00C40D36">
      <w:pPr>
        <w:spacing w:before="100" w:beforeAutospacing="1" w:after="100" w:afterAutospacing="1" w:line="240" w:lineRule="auto"/>
        <w:rPr>
          <w:rFonts w:ascii="Times New Roman" w:eastAsia="Times New Roman" w:hAnsi="Times New Roman" w:cs="Times New Roman"/>
          <w:color w:val="000000" w:themeColor="text1"/>
          <w:sz w:val="24"/>
          <w:szCs w:val="24"/>
        </w:rPr>
      </w:pPr>
    </w:p>
    <w:p w:rsidR="00FB2328" w:rsidRDefault="00FB2328" w:rsidP="00C40D36">
      <w:pPr>
        <w:spacing w:before="100" w:beforeAutospacing="1" w:after="100" w:afterAutospacing="1" w:line="240" w:lineRule="auto"/>
        <w:rPr>
          <w:rFonts w:ascii="Times New Roman" w:eastAsia="Times New Roman" w:hAnsi="Times New Roman" w:cs="Times New Roman"/>
          <w:color w:val="000000" w:themeColor="text1"/>
          <w:sz w:val="24"/>
          <w:szCs w:val="24"/>
        </w:rPr>
      </w:pPr>
    </w:p>
    <w:p w:rsidR="00FB2328" w:rsidRPr="00382E24" w:rsidRDefault="00FB2328" w:rsidP="00C40D36">
      <w:pPr>
        <w:spacing w:before="100" w:beforeAutospacing="1" w:after="100" w:afterAutospacing="1" w:line="240" w:lineRule="auto"/>
        <w:rPr>
          <w:rFonts w:ascii="Times New Roman" w:eastAsia="Times New Roman" w:hAnsi="Times New Roman" w:cs="Times New Roman"/>
          <w:color w:val="000000" w:themeColor="text1"/>
          <w:sz w:val="24"/>
          <w:szCs w:val="24"/>
        </w:rPr>
      </w:pPr>
    </w:p>
    <w:tbl>
      <w:tblPr>
        <w:tblW w:w="9923" w:type="dxa"/>
        <w:jc w:val="center"/>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3969"/>
        <w:gridCol w:w="5954"/>
      </w:tblGrid>
      <w:tr w:rsidR="006C4F9F" w:rsidRPr="00382E24" w:rsidTr="00FE646A">
        <w:trPr>
          <w:jc w:val="center"/>
        </w:trPr>
        <w:tc>
          <w:tcPr>
            <w:tcW w:w="3969" w:type="dxa"/>
            <w:tcBorders>
              <w:top w:val="nil"/>
              <w:left w:val="nil"/>
              <w:bottom w:val="nil"/>
              <w:right w:val="nil"/>
            </w:tcBorders>
            <w:shd w:val="clear" w:color="auto" w:fill="FFFFFF"/>
            <w:tcMar>
              <w:top w:w="0" w:type="dxa"/>
              <w:left w:w="0" w:type="dxa"/>
              <w:bottom w:w="0" w:type="dxa"/>
              <w:right w:w="0" w:type="dxa"/>
            </w:tcMar>
            <w:vAlign w:val="center"/>
          </w:tcPr>
          <w:p w:rsidR="006C4F9F" w:rsidRPr="00382E24" w:rsidRDefault="006C4F9F" w:rsidP="00FE646A">
            <w:pPr>
              <w:spacing w:after="0" w:line="240" w:lineRule="auto"/>
              <w:jc w:val="center"/>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ỦY BAN NHÂN DÂN</w:t>
            </w:r>
          </w:p>
          <w:p w:rsidR="006C4F9F" w:rsidRPr="00382E24" w:rsidRDefault="006C4F9F" w:rsidP="00FE646A">
            <w:pPr>
              <w:spacing w:after="0" w:line="240" w:lineRule="auto"/>
              <w:jc w:val="center"/>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THÀNH PHỐ HUẾ</w:t>
            </w:r>
          </w:p>
        </w:tc>
        <w:tc>
          <w:tcPr>
            <w:tcW w:w="5954" w:type="dxa"/>
            <w:tcBorders>
              <w:top w:val="nil"/>
              <w:left w:val="nil"/>
              <w:bottom w:val="nil"/>
              <w:right w:val="nil"/>
            </w:tcBorders>
            <w:shd w:val="clear" w:color="auto" w:fill="FFFFFF"/>
            <w:tcMar>
              <w:top w:w="0" w:type="dxa"/>
              <w:left w:w="0" w:type="dxa"/>
              <w:bottom w:w="0" w:type="dxa"/>
              <w:right w:w="0" w:type="dxa"/>
            </w:tcMar>
            <w:vAlign w:val="center"/>
          </w:tcPr>
          <w:p w:rsidR="006C4F9F" w:rsidRPr="00382E24" w:rsidRDefault="006C4F9F" w:rsidP="00FE646A">
            <w:pPr>
              <w:spacing w:after="0" w:line="240" w:lineRule="auto"/>
              <w:jc w:val="center"/>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CỘNG HÒA XÃ HỘI CHỦ NGHĨA VIỆT NAM</w:t>
            </w:r>
          </w:p>
          <w:p w:rsidR="006C4F9F" w:rsidRPr="00382E24" w:rsidRDefault="006C4F9F" w:rsidP="00FE646A">
            <w:pPr>
              <w:spacing w:after="0" w:line="240" w:lineRule="auto"/>
              <w:jc w:val="center"/>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Độc lập - Tự do - Hạnh phúc</w:t>
            </w:r>
          </w:p>
        </w:tc>
      </w:tr>
    </w:tbl>
    <w:p w:rsidR="006C4F9F" w:rsidRPr="00382E24" w:rsidRDefault="006C4F9F" w:rsidP="006C4F9F">
      <w:pPr>
        <w:shd w:val="clear" w:color="auto" w:fill="FFFFFF"/>
        <w:spacing w:after="0" w:line="240" w:lineRule="auto"/>
        <w:ind w:left="720"/>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5593E8B2" wp14:editId="2652CC8F">
                <wp:simplePos x="0" y="0"/>
                <wp:positionH relativeFrom="column">
                  <wp:posOffset>619126</wp:posOffset>
                </wp:positionH>
                <wp:positionV relativeFrom="paragraph">
                  <wp:posOffset>114935</wp:posOffset>
                </wp:positionV>
                <wp:extent cx="1009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0096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CCA2D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9.05pt" to="128.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" strokecolor="windowText" strokeweight=".5pt">
                <v:stroke joinstyle="miter"/>
              </v:line>
            </w:pict>
          </mc:Fallback>
        </mc:AlternateContent>
      </w:r>
      <w:r w:rsidRPr="00382E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517E3FE6" wp14:editId="73662C00">
                <wp:simplePos x="0" y="0"/>
                <wp:positionH relativeFrom="column">
                  <wp:posOffset>3486150</wp:posOffset>
                </wp:positionH>
                <wp:positionV relativeFrom="paragraph">
                  <wp:posOffset>105410</wp:posOffset>
                </wp:positionV>
                <wp:extent cx="16764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676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1372196"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4.5pt,8.3pt" to="40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" strokecolor="windowText" strokeweight=".5pt">
                <v:stroke joinstyle="miter"/>
              </v:line>
            </w:pict>
          </mc:Fallback>
        </mc:AlternateContent>
      </w:r>
      <w:r w:rsidRPr="00382E24">
        <w:rPr>
          <w:rFonts w:ascii="Times New Roman" w:eastAsia="Times New Roman" w:hAnsi="Times New Roman" w:cs="Times New Roman"/>
          <w:color w:val="000000" w:themeColor="text1"/>
          <w:sz w:val="28"/>
          <w:szCs w:val="28"/>
        </w:rPr>
        <w:t xml:space="preserve">     </w:t>
      </w:r>
    </w:p>
    <w:p w:rsidR="006C4F9F" w:rsidRPr="00382E24" w:rsidRDefault="006C4F9F" w:rsidP="006C4F9F">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      Số:          /2026/QĐ-UBND                              Huế, ngày   tháng       năm 2026</w:t>
      </w:r>
    </w:p>
    <w:p w:rsidR="006C4F9F" w:rsidRPr="00382E24" w:rsidRDefault="006C4F9F" w:rsidP="006C4F9F">
      <w:pPr>
        <w:shd w:val="clear" w:color="auto" w:fill="FFFFFF"/>
        <w:spacing w:after="0" w:line="240" w:lineRule="auto"/>
        <w:jc w:val="center"/>
        <w:rPr>
          <w:rFonts w:ascii="Times New Roman" w:eastAsia="Times New Roman" w:hAnsi="Times New Roman" w:cs="Times New Roman"/>
          <w:b/>
          <w:bCs/>
          <w:color w:val="000000" w:themeColor="text1"/>
          <w:sz w:val="28"/>
          <w:szCs w:val="28"/>
        </w:rPr>
      </w:pPr>
    </w:p>
    <w:p w:rsidR="006C4F9F" w:rsidRPr="00382E24" w:rsidRDefault="006C4F9F" w:rsidP="006C4F9F">
      <w:pPr>
        <w:shd w:val="clear" w:color="auto" w:fill="FFFFFF"/>
        <w:spacing w:after="0" w:line="240" w:lineRule="auto"/>
        <w:jc w:val="center"/>
        <w:rPr>
          <w:rFonts w:ascii="Times New Roman" w:eastAsia="Times New Roman" w:hAnsi="Times New Roman" w:cs="Times New Roman"/>
          <w:b/>
          <w:bCs/>
          <w:color w:val="000000" w:themeColor="text1"/>
          <w:sz w:val="28"/>
          <w:szCs w:val="28"/>
        </w:rPr>
      </w:pPr>
    </w:p>
    <w:p w:rsidR="006C4F9F" w:rsidRPr="00382E24" w:rsidRDefault="006C4F9F" w:rsidP="006C4F9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QUYẾT ĐỊNH</w:t>
      </w:r>
    </w:p>
    <w:p w:rsidR="006C4F9F" w:rsidRPr="00382E24" w:rsidRDefault="006C4F9F" w:rsidP="006C4F9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Ban hành Quy định về hình thức hỗ trợ, định mức hỗ trợ, quản lý,</w:t>
      </w:r>
    </w:p>
    <w:p w:rsidR="006C4F9F" w:rsidRPr="00382E24" w:rsidRDefault="006C4F9F" w:rsidP="006C4F9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thanh toán, quyết toán vốn đầu tư nguồn ngân sách nhà nước giao</w:t>
      </w:r>
    </w:p>
    <w:p w:rsidR="006C4F9F" w:rsidRPr="00382E24" w:rsidRDefault="006C4F9F" w:rsidP="006C4F9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cho cộng đồng dân cư tự thực hiện đối với các dự án thuộc</w:t>
      </w:r>
    </w:p>
    <w:p w:rsidR="006C4F9F" w:rsidRPr="00382E24" w:rsidRDefault="006C4F9F" w:rsidP="006C4F9F">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sidRPr="00382E24">
        <w:rPr>
          <w:rFonts w:ascii="Times New Roman" w:eastAsia="Times New Roman" w:hAnsi="Times New Roman" w:cs="Times New Roman"/>
          <w:b/>
          <w:bCs/>
          <w:color w:val="000000" w:themeColor="text1"/>
          <w:sz w:val="28"/>
          <w:szCs w:val="28"/>
        </w:rPr>
        <w:t>chương trình mục tiêu quốc gia trên địa bàn thành phố Huế</w:t>
      </w:r>
    </w:p>
    <w:p w:rsidR="006C4F9F" w:rsidRPr="00382E24" w:rsidRDefault="006C4F9F" w:rsidP="006C4F9F">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Luật Tổ chức chính quyền địa phương số 72/2025/QH15;</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Luật Ngân sách nhà nước số 89/2025/QH15, được sửa đổi, bổ sung bởi Luật số 145/2025/QH15;</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Luật Đầu tư công số 58/2024/QH15, được sửa đổi, bổ sung bởi Luật số 90/2025/QH15;</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Luật Xây dựng số 135/2025/QH15;</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Nghị định số 254/2025/NĐ-CP của Chính phủ quy định về quản lý, thanh toán, quyết toán dự án sử dụng vốn đầu tư công;</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Nghị định số 358/2025/NĐ-CP của Chính phủ quy định cơ chế quản lý, tổ chức thực hiện các chương trình mục tiêu quốc gia;</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Nghị định số 193/2026/NĐ-CP của Chính phủ quy định về quyết toán vốn đầu tư dự án;</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Thông tư số 91/2025/TT-BTC của Bộ trưởng Bộ Tài chính quy định về hệ thống mẫu biểu sử dụng trong công tác quyết toán;</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Căn cứ Thông tư số 73/2026/TT-BTC của Bộ trưởng Bộ Tài chính quy định về hệ thống mẫu biểu sử dụng trong công tác quyết toán vốn đầu tư dự án;</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Theo đề nghị của Giám đốc Sở Tài chính;</w:t>
      </w:r>
    </w:p>
    <w:p w:rsidR="006C4F9F" w:rsidRPr="00382E24" w:rsidRDefault="006C4F9F" w:rsidP="006C4F9F">
      <w:pPr>
        <w:shd w:val="clear" w:color="auto" w:fill="FFFFFF"/>
        <w:spacing w:before="120" w:after="0" w:line="240" w:lineRule="auto"/>
        <w:ind w:firstLine="567"/>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i/>
          <w:color w:val="000000" w:themeColor="text1"/>
          <w:sz w:val="28"/>
          <w:szCs w:val="28"/>
        </w:rPr>
        <w:t>Ủy ban nhân dân thành phố Huế ban hành Quy định về hình thức hỗ trợ, định mức hỗ trợ, quản lý, thanh toán, quyết toán vốn đầu tư nguồn ngân sách nhà nước giao cho cộng đồng dân cư tự thực hiện đối với các dự án thuộc chương trình mục tiêu quốc gia trên địa bàn thành phố Huế.</w:t>
      </w:r>
    </w:p>
    <w:p w:rsidR="006C4F9F" w:rsidRPr="00382E24" w:rsidRDefault="006C4F9F" w:rsidP="006C4F9F">
      <w:pPr>
        <w:shd w:val="clear" w:color="auto" w:fill="FFFFFF"/>
        <w:spacing w:before="120" w:after="0" w:line="240" w:lineRule="auto"/>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Chương I</w:t>
      </w:r>
    </w:p>
    <w:p w:rsidR="006C4F9F" w:rsidRPr="00382E24" w:rsidRDefault="006C4F9F" w:rsidP="006C4F9F">
      <w:pPr>
        <w:shd w:val="clear" w:color="auto" w:fill="FFFFFF"/>
        <w:spacing w:before="120" w:after="0" w:line="240" w:lineRule="auto"/>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QUY ĐỊNH CHUNG</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 Phạm vi điều chỉnh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Quy định này quy định về hình thức hỗ trợ, nguyên tắc xác định định mức hỗ trợ, quản lý, thanh toán và quyết toán vốn đầu tư nguồn ngân sách nhà nước giao cho cộng đồng dân cư tự thực hiện đối với các dự án thuộc chương trình mục tiêu quốc gia trên địa bàn thành phố Huế theo cơ chế quy định tại Nghị định số 358/2025/NĐ-CP</w:t>
      </w:r>
      <w:r w:rsidR="00FE646A" w:rsidRPr="00382E24">
        <w:rPr>
          <w:rFonts w:ascii="Times New Roman" w:eastAsia="Times New Roman" w:hAnsi="Times New Roman" w:cs="Times New Roman"/>
          <w:i/>
          <w:color w:val="000000" w:themeColor="text1"/>
          <w:sz w:val="28"/>
          <w:szCs w:val="28"/>
        </w:rPr>
        <w:t xml:space="preserve"> </w:t>
      </w:r>
      <w:r w:rsidR="00FE646A" w:rsidRPr="00382E24">
        <w:rPr>
          <w:rFonts w:ascii="Times New Roman" w:eastAsia="Times New Roman" w:hAnsi="Times New Roman" w:cs="Times New Roman"/>
          <w:color w:val="000000" w:themeColor="text1"/>
          <w:sz w:val="28"/>
          <w:szCs w:val="28"/>
        </w:rPr>
        <w:t xml:space="preserve">ngày 31 tháng 12 năm 2025 của Chính phủ </w:t>
      </w:r>
      <w:r w:rsidR="002838A7" w:rsidRPr="00382E24">
        <w:rPr>
          <w:rFonts w:ascii="Times New Roman" w:eastAsia="Times New Roman" w:hAnsi="Times New Roman" w:cs="Times New Roman"/>
          <w:color w:val="000000" w:themeColor="text1"/>
          <w:sz w:val="28"/>
          <w:szCs w:val="28"/>
        </w:rPr>
        <w:t xml:space="preserve">quy định cơ chế quản lý, tổ chức thực hiện các chương trình mục tiêu quốc gia </w:t>
      </w:r>
      <w:r w:rsidR="00FE646A" w:rsidRPr="00382E24">
        <w:rPr>
          <w:rFonts w:ascii="Times New Roman" w:eastAsia="Times New Roman" w:hAnsi="Times New Roman" w:cs="Times New Roman"/>
          <w:color w:val="000000" w:themeColor="text1"/>
          <w:sz w:val="28"/>
          <w:szCs w:val="28"/>
        </w:rPr>
        <w:t>(sau đây gọi là Nghị định số 358/2025/NĐ-CP)</w:t>
      </w:r>
      <w:r w:rsidRPr="00382E24">
        <w:rPr>
          <w:rFonts w:ascii="Times New Roman" w:eastAsia="Times New Roman" w:hAnsi="Times New Roman" w:cs="Times New Roman"/>
          <w:color w:val="000000" w:themeColor="text1"/>
          <w:sz w:val="28"/>
          <w:szCs w:val="28"/>
        </w:rPr>
        <w:t>.</w:t>
      </w:r>
    </w:p>
    <w:p w:rsidR="006C4F9F" w:rsidRPr="00382E24" w:rsidRDefault="006C4F9F" w:rsidP="00332405">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Đối tượng dự án áp dụng là dự án có tính chất kỹ thuật đơn giản, tổng mức đầu tư dưới 500 triệu đồng, cộng đồng dân cư hưởng lợi trực tiếp có đủ năng lực quản lý, tổ chức thi công và được Ủy ban nhân dân cấp xã lựa chọn cơ chế giao cho cộng đồng dân cư, thông qua Ban phát triển thôn, tự thực hiện dự án.</w:t>
      </w:r>
    </w:p>
    <w:p w:rsidR="006C4F9F" w:rsidRPr="00382E24" w:rsidRDefault="006C4F9F" w:rsidP="00332405">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Những nội dung không quy định tại Quy định này được thực hiện theo Luật Ngân sách nhà nước, Luật Đầu tư công, Luật Xây dựng, Nghị định số 358/2025/NĐ-CP, Nghị định số 254/2025/NĐ-CP</w:t>
      </w:r>
      <w:r w:rsidR="00FE646A" w:rsidRPr="00382E24">
        <w:rPr>
          <w:rFonts w:ascii="Times New Roman" w:eastAsia="Times New Roman" w:hAnsi="Times New Roman" w:cs="Times New Roman"/>
          <w:color w:val="000000" w:themeColor="text1"/>
          <w:sz w:val="28"/>
          <w:szCs w:val="28"/>
        </w:rPr>
        <w:t xml:space="preserve"> ngày 26 tháng 9 năm 2025 </w:t>
      </w:r>
      <w:r w:rsidR="002838A7" w:rsidRPr="00382E24">
        <w:rPr>
          <w:rFonts w:ascii="Times New Roman" w:eastAsia="Times New Roman" w:hAnsi="Times New Roman" w:cs="Times New Roman"/>
          <w:color w:val="000000" w:themeColor="text1"/>
          <w:sz w:val="28"/>
          <w:szCs w:val="28"/>
        </w:rPr>
        <w:t xml:space="preserve">quy định về quản lý, thanh toán, quyết toán dự án sử dụng vốn đầu tư công </w:t>
      </w:r>
      <w:r w:rsidR="00FE646A" w:rsidRPr="00382E24">
        <w:rPr>
          <w:rFonts w:ascii="Times New Roman" w:eastAsia="Times New Roman" w:hAnsi="Times New Roman" w:cs="Times New Roman"/>
          <w:color w:val="000000" w:themeColor="text1"/>
          <w:sz w:val="28"/>
          <w:szCs w:val="28"/>
        </w:rPr>
        <w:t>(sau đây gọi là Nghị định số 254/2025/NĐ-CP)</w:t>
      </w:r>
      <w:r w:rsidRPr="00382E24">
        <w:rPr>
          <w:rFonts w:ascii="Times New Roman" w:eastAsia="Times New Roman" w:hAnsi="Times New Roman" w:cs="Times New Roman"/>
          <w:color w:val="000000" w:themeColor="text1"/>
          <w:sz w:val="28"/>
          <w:szCs w:val="28"/>
        </w:rPr>
        <w:t>, Nghị định số 193/2026/NĐ-CP</w:t>
      </w:r>
      <w:r w:rsidR="00FE646A" w:rsidRPr="00382E24">
        <w:rPr>
          <w:rFonts w:ascii="Times New Roman" w:eastAsia="Times New Roman" w:hAnsi="Times New Roman" w:cs="Times New Roman"/>
          <w:color w:val="000000" w:themeColor="text1"/>
          <w:sz w:val="28"/>
          <w:szCs w:val="28"/>
        </w:rPr>
        <w:t xml:space="preserve"> ngày 01 tháng 6 năm 2026 </w:t>
      </w:r>
      <w:r w:rsidR="002838A7" w:rsidRPr="00382E24">
        <w:rPr>
          <w:rFonts w:ascii="Times New Roman" w:eastAsia="Times New Roman" w:hAnsi="Times New Roman" w:cs="Times New Roman"/>
          <w:color w:val="000000" w:themeColor="text1"/>
          <w:sz w:val="28"/>
          <w:szCs w:val="28"/>
        </w:rPr>
        <w:t xml:space="preserve">quy định về quyết toán vốn đầu tư dự án </w:t>
      </w:r>
      <w:r w:rsidR="00FE646A" w:rsidRPr="00382E24">
        <w:rPr>
          <w:rFonts w:ascii="Times New Roman" w:eastAsia="Times New Roman" w:hAnsi="Times New Roman" w:cs="Times New Roman"/>
          <w:color w:val="000000" w:themeColor="text1"/>
          <w:sz w:val="28"/>
          <w:szCs w:val="28"/>
        </w:rPr>
        <w:t>(sau đây gọi là Nghị định số 193/2026/NĐ-CP) của Chính phủ</w:t>
      </w:r>
      <w:r w:rsidR="002838A7" w:rsidRPr="00382E24">
        <w:rPr>
          <w:rFonts w:ascii="Times New Roman" w:eastAsia="Times New Roman" w:hAnsi="Times New Roman" w:cs="Times New Roman"/>
          <w:color w:val="000000" w:themeColor="text1"/>
          <w:sz w:val="28"/>
          <w:szCs w:val="28"/>
        </w:rPr>
        <w:t xml:space="preserve">; </w:t>
      </w:r>
      <w:r w:rsidR="00FE646A" w:rsidRPr="00382E24">
        <w:rPr>
          <w:rFonts w:ascii="Times New Roman" w:eastAsia="Times New Roman" w:hAnsi="Times New Roman" w:cs="Times New Roman"/>
          <w:color w:val="000000" w:themeColor="text1"/>
          <w:sz w:val="28"/>
          <w:szCs w:val="28"/>
        </w:rPr>
        <w:t>T</w:t>
      </w:r>
      <w:r w:rsidRPr="00382E24">
        <w:rPr>
          <w:rFonts w:ascii="Times New Roman" w:eastAsia="Times New Roman" w:hAnsi="Times New Roman" w:cs="Times New Roman"/>
          <w:color w:val="000000" w:themeColor="text1"/>
          <w:sz w:val="28"/>
          <w:szCs w:val="28"/>
        </w:rPr>
        <w:t>hông tư</w:t>
      </w:r>
      <w:r w:rsidR="002838A7" w:rsidRPr="00382E24">
        <w:rPr>
          <w:color w:val="000000" w:themeColor="text1"/>
        </w:rPr>
        <w:t xml:space="preserve"> </w:t>
      </w:r>
      <w:r w:rsidR="002838A7" w:rsidRPr="00382E24">
        <w:rPr>
          <w:rFonts w:ascii="Times New Roman" w:eastAsia="Times New Roman" w:hAnsi="Times New Roman" w:cs="Times New Roman"/>
          <w:color w:val="000000" w:themeColor="text1"/>
          <w:sz w:val="28"/>
          <w:szCs w:val="28"/>
        </w:rPr>
        <w:t>số 91/2025/TT-BTC ngày 26 tháng 9 năm 2025 quy định về hệ thống mẫu biểu sử dụng trong công tác quyết toán (sau đây gọi là Thông tư</w:t>
      </w:r>
      <w:r w:rsidR="002838A7" w:rsidRPr="00382E24">
        <w:rPr>
          <w:color w:val="000000" w:themeColor="text1"/>
        </w:rPr>
        <w:t xml:space="preserve"> </w:t>
      </w:r>
      <w:r w:rsidR="002838A7" w:rsidRPr="00382E24">
        <w:rPr>
          <w:rFonts w:ascii="Times New Roman" w:eastAsia="Times New Roman" w:hAnsi="Times New Roman" w:cs="Times New Roman"/>
          <w:color w:val="000000" w:themeColor="text1"/>
          <w:sz w:val="28"/>
          <w:szCs w:val="28"/>
        </w:rPr>
        <w:t>số 91/2025/TT-BTC), Thông tư số 73/2026/TT-BTC ngày 25 tháng 6 năm 2026 quy định về hệ thống mẫu biểu sử dụng trong công tác quyết toán vốn đầu tư dự án (sau đây gọi là Thông tư</w:t>
      </w:r>
      <w:r w:rsidR="002838A7" w:rsidRPr="00382E24">
        <w:rPr>
          <w:color w:val="000000" w:themeColor="text1"/>
        </w:rPr>
        <w:t xml:space="preserve"> </w:t>
      </w:r>
      <w:r w:rsidR="002838A7" w:rsidRPr="00382E24">
        <w:rPr>
          <w:rFonts w:ascii="Times New Roman" w:eastAsia="Times New Roman" w:hAnsi="Times New Roman" w:cs="Times New Roman"/>
          <w:color w:val="000000" w:themeColor="text1"/>
          <w:sz w:val="28"/>
          <w:szCs w:val="28"/>
        </w:rPr>
        <w:t>số 73/2026/TT-BTC)</w:t>
      </w:r>
      <w:r w:rsidR="002838A7" w:rsidRPr="00382E24">
        <w:rPr>
          <w:color w:val="000000" w:themeColor="text1"/>
        </w:rPr>
        <w:t xml:space="preserve"> </w:t>
      </w:r>
      <w:r w:rsidR="002838A7" w:rsidRPr="00382E24">
        <w:rPr>
          <w:rFonts w:ascii="Times New Roman" w:eastAsia="Times New Roman" w:hAnsi="Times New Roman" w:cs="Times New Roman"/>
          <w:color w:val="000000" w:themeColor="text1"/>
          <w:sz w:val="28"/>
          <w:szCs w:val="28"/>
        </w:rPr>
        <w:t xml:space="preserve">của Bộ trưởng Bộ Tài chính </w:t>
      </w:r>
      <w:r w:rsidRPr="00382E24">
        <w:rPr>
          <w:rFonts w:ascii="Times New Roman" w:eastAsia="Times New Roman" w:hAnsi="Times New Roman" w:cs="Times New Roman"/>
          <w:color w:val="000000" w:themeColor="text1"/>
          <w:sz w:val="28"/>
          <w:szCs w:val="28"/>
        </w:rPr>
        <w:t>và quy định pháp luật có liên quan.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2. Đối tượng áp dụng</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Ủy ban nhân dân cấp xã; phòng chuyên môn được giao thực hiện chương trình mục tiêu quốc gia; Ban quản lý dự án đầu tư xây dựng cấp xã (nếu được thành lập và được giao nhiệm vụ);</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Ban phát triển thôn (tổ) và cộng đồng dân cư được giao tự thực hiện dự án (gọi chung là Ban phát triển thôn);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Kho bạc Nhà nước khu vực và Phòng giao dịch Kho bạc Nhà nước khu vực thực hiện kiểm soát, thanh toán vốn theo quy định;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Các sở, ban, ngành, cơ quan, tổ chức, cá nhân có liên quan đến việc quản lý, sử dụng, thanh toán và quyết toán vốn đầu tư nguồn ngân sách nhà nước giao cho cộng đồng dân cư tự thực hiện.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3. Nguyên tắc áp dụng</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Việc hỗ trợ, quản lý, thanh toán và quyết toán vốn phải bảo đảm đúng mục tiêu, đúng đối tượng, đúng nội dung, đúng nguồn vốn, đúng kế hoạch vốn và đúng quyết định đầu tư được cấp có thẩm quyền phê duyệt.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Chỉ hỗ trợ từ ngân sách nhà nước đối với các nội dung thuộc dự án đã được cấp có thẩm quyền quyết định đầu tư và được bố trí kế hoạch vốn theo quy định.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Việc quản lý, sử dụng vốn phải bảo đảm công khai, minh bạch, tiết kiệm, hiệu quả; phát huy vai trò chủ thể của cộng đồng dân cư; chịu sự kiểm tra, giám sát của cơ quan nhà nước có thẩm quyền và giám sát đầu tư của cộng đồng theo quy định.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Việc xác định, quản lý và sử dụng phần vốn đối ứng của cộng đồng dân cư và các nguồn vốn hợp pháp khác phải được phản ánh đầy đủ trong hồ sơ, sổ sách và báo cáo quyết toán dự án.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5. Trường hợp văn bản quy phạm pháp luật được dẫn chiếu tại Quy định này được sửa đổi, bổ sung hoặc thay thế thì thực hiện theo văn bản sửa đổi, bổ sung hoặc thay thế.</w:t>
      </w:r>
    </w:p>
    <w:p w:rsidR="006C4F9F" w:rsidRPr="00382E24" w:rsidRDefault="006C4F9F" w:rsidP="006C4F9F">
      <w:pPr>
        <w:shd w:val="clear" w:color="auto" w:fill="FFFFFF"/>
        <w:spacing w:before="120" w:after="0" w:line="240" w:lineRule="auto"/>
        <w:ind w:firstLine="851"/>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Chương II</w:t>
      </w:r>
    </w:p>
    <w:p w:rsidR="006C4F9F" w:rsidRPr="00382E24" w:rsidRDefault="006C4F9F" w:rsidP="006C4F9F">
      <w:pPr>
        <w:shd w:val="clear" w:color="auto" w:fill="FFFFFF"/>
        <w:spacing w:before="120" w:after="0" w:line="240" w:lineRule="auto"/>
        <w:ind w:firstLine="851"/>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HÌNH THỨC HỖ TRỢ, NGUYÊN TẮC XÁC ĐỊNH ĐỊNH MỨC HỖ TRỢ VÀ QUẢN LÝ VỐN ĐẦU TƯ NGUỒN NGÂN SÁCH NHÀ NƯỚC</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4. Hình thức hỗ trợ từ ngân sách nhà nước</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Căn cứ quyết định đầu tư, tổng mức đầu tư được phê duyệt, kế hoạch vốn được giao, khả năng cân đối ngân sách nhà nước và điều kiện thực tế của dự án, ngân sách nhà nước hỗ trợ cộng đồng dân cư tự thực hiện theo một hoặc kết hợp các hình thức sau:</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a) Hỗ trợ bằng tiền;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b) Hỗ trợ bằng hiện vật;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c) Hỗ trợ kết hợp bằng tiền và hiện vật.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Hình thức hỗ trợ, nội dung hỗ trợ và mức hỗ trợ cụ thể phải được xác định trong quyết định đầu tư hoặc quyết định phê duyệt dự án của cấp có thẩm quyền, bảo đảm không vượt mức hỗ trợ theo quy định của pháp luật và Quy định này.</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Trường hợp cần điều chỉnh hình thức hỗ trợ hoặc cơ cấu giữa các hình thức hỗ trợ trong quá trình thực hiện dự án thì thực hiện theo quyết định của cấp có thẩm quyền và quy định của pháp luật về đầu tư công, xây dựng, ngân sách nhà nước và chương trình mục tiêu quốc gia.</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5. Hỗ trợ bằng tiền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Hỗ trợ bằng tiền được áp dụng đối với các nội dung chi thuộc phạm vi tổng mức đầu tư được cấp có thẩm quyền phê duyệt và thuộc kế hoạch vốn được giao.</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Nguồn vốn hỗ trợ bằng tiền được bố trí trong kế hoạch đầu tư công theo quy định của pháp luật về đầu tư công và ngân sách nhà nước.</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Việc quản lý, sử dụng, tạm ứng, thanh toán và quyết toán vốn hỗ trợ bằng tiền thực hiện theo Quy định này, Nghị định số 254/2025/NĐ-CP, Nghị định số 193/2026/NĐ-CP và các quy định pháp luật có liên quan.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Việc thanh toán cho cộng đồng dân cư hoặc người trực tiếp tham gia thi công phải bảo đảm có đầy đủ hồ sơ, chứng từ hợp pháp, được kiểm soát, thanh toán theo quy định; hạn chế việc sử dụng tiền mặt, trừ trường hợp pháp luật cho phép.</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6. Hỗ trợ bằng hiện vật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Hiện vật hỗ trợ gồm vật liệu xây dựng, cấu kiện, thiết bị, bán thành phẩm hoặc hiện vật khác phục vụ trực tiếp việc thực hiện dự án.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Việc hỗ trợ bằng hiện vật phải bảo đảm đúng chủng loại, tiêu chuẩn kỹ thuật, quy cách, chất lượng và số lượng theo quyết định đầu tư, thiết kế, dự toán được cấp có thẩm quyền phê duyệt.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Giá trị hiện vật hỗ trợ được xác định trên cơ sở giá mua hợp pháp, giá theo hợp đồng hoặc căn cứ hợp pháp khác theo quy định của pháp luật và được tổng hợp vào giá trị đầu tư của dự án.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Việc tiếp nhận, quản lý, sử dụng hiện vật phải được lập biên bản giao nhận; theo dõi đầy đủ về số lượng, chủng loại và giá trị; sử dụng đúng mục đích, đúng dự án và không được tự ý chuyển đổi mục đích sử dụng.</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7. Hỗ trợ kết hợp bằng tiền và hiện vật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Đối với dự án được hỗ trợ bằng cả tiền và hiện vật, việc quản lý từng hình thức hỗ trợ thực hiện theo Điều 5 và Điều 6 Quy định này.</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Tổng giá trị vốn hỗ trợ bằng tiền và giá trị hiện vật không vượt mức hỗ trợ được cấp có thẩm quyền quyết định, tổng mức đầu tư được phê duyệt và kế hoạch vốn được giao.</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Giá trị hiện vật hỗ trợ được quy đổi thành tiền theo căn cứ hợp pháp để tổng hợp vào giá trị đầu tư của dự án.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Trường hợp thay đổi cơ cấu giữa hỗ trợ bằng tiền và hỗ trợ bằng hiện vật mà làm thay đổi nội dung, mức hỗ trợ hoặc tổng mức đầu tư thì phải được cấp có thẩm quyền quyết định theo quy định.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8. Nguyên tắc xác định định mức hỗ trợ từ ngân sách nhà nước</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Định mức hỗ trợ từ ngân sách nhà nước được xác định trên cơ sở:</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a) Mục tiêu, đối tượng và nội dung của chương trình mục tiêu quốc gia;</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b) Tổng mức đầu tư và nội dung đầu tư được cấp có thẩm quyền phê duyệt;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c) Khả năng cân đối ngân sách nhà nước trong từng thời kỳ;</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d) Kế hoạch đầu tư công trung hạn và hằng năm được cấp có thẩm quyền giao;</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đ) Khả năng huy động nguồn lực hợp pháp của cộng đồng dân cư và các nguồn vốn hợp pháp khác;</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e) Điều kiện kinh tế - xã hội, điều kiện thi công và đặc điểm của địa bàn.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Việc xác định mức hỗ trợ phải bảo đảm:</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a) Đúng quy định của pháp luật về ngân sách nhà nước, đầu tư công, xây dựng và chương trình mục tiêu quốc gia;</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b) Phù hợp tiêu chuẩn, định mức kinh tế - kỹ thuật, giá xây dựng và các định mức có liên quan do cơ quan có thẩm quyền ban hành;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c) Công khai, minh bạch, tiết kiệm, hiệu quả và phù hợp khả năng cân đối ngân sách nhà nước;</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d) Không làm phát sinh nợ đọng xây dựng cơ bản và không vượt tổng mức đầu tư được cấp có thẩm quyền phê duyệt.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Trường hợp pháp luật chuyên ngành, chương trình mục tiêu quốc gia hoặc cấp có thẩm quyền quy định mức hỗ trợ cụ thể thì thực hiện theo quy định đó.</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9. Quản lý vốn đầu tư</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Vốn đầu tư nguồn ngân sách nhà nước giao cho cộng đồng dân cư tự thực hiện được quản lý theo Luật Ngân sách nhà nước, Luật Đầu tư công, Luật Xây dựng, Nghị định số 358/2025/NĐ-CP, Nghị định số 254/2025/NĐ-CP, Nghị định số 193/2026/NĐ-CP và các quy định pháp luật có liên quan.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Vốn chỉ được sử dụng đúng mục tiêu, đúng đối tượng, đúng nội dung, đúng nguồn vốn, đúng kế hoạch vốn được giao và đúng quyết định đầu tư.</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Chủ đầu tư, Ban phát triển thôn và các tổ chức, cá nhân có liên quan chịu trách nhiệm quản lý, sử dụng vốn trong phạm vi nhiệm vụ được giao; bảo đảm lưu trữ đầy đủ hồ sơ, chứng từ và thực hiện công khai theo quy định.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Nghiêm cấm sử dụng vốn sai mục đích; lập, sử dụng hồ sơ, chứng từ thanh toán, quyết toán không đúng quy định; hoặc lợi dụng cơ chế giao cộng đồng dân cư tự thực hiện để gây thất thoát, lãng phí ngân sách nhà nước.</w:t>
      </w:r>
    </w:p>
    <w:p w:rsidR="006C4F9F" w:rsidRPr="00382E24" w:rsidRDefault="006C4F9F" w:rsidP="006C4F9F">
      <w:pPr>
        <w:shd w:val="clear" w:color="auto" w:fill="FFFFFF"/>
        <w:spacing w:before="120" w:after="0" w:line="240" w:lineRule="auto"/>
        <w:ind w:firstLine="851"/>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Chương III</w:t>
      </w:r>
    </w:p>
    <w:p w:rsidR="006C4F9F" w:rsidRPr="00382E24" w:rsidRDefault="006C4F9F" w:rsidP="006C4F9F">
      <w:pPr>
        <w:shd w:val="clear" w:color="auto" w:fill="FFFFFF"/>
        <w:spacing w:before="120" w:after="0" w:line="240" w:lineRule="auto"/>
        <w:ind w:firstLine="851"/>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THANH TOÁN, QUYẾT TOÁN VỐN ĐẦU TƯ</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10. Mở tài khoản, cấp mã số</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Sau khi có quyết định đầu tư, chủ đầu tư thực hiện thủ tục đăng ký mã số đơn vị có quan hệ với ngân sách, mã dự án qua hệ thống cấp mã số của Bộ Tài chính (mstt.mof.gov.vn) để cấp Giấy chứng nhận mã số đơn vị quan hệ ngân sách (mã dự án) điện tử cho đơn vị; mở tài khoản giao dịch tại phòng giao dịch Kho bạc Nhà nước theo quy định.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Việc mở, quản lý và sử dụng tài khoản thực hiện theo quy định của pháp luật về đăng ký, sử dụng mã số đơn vị có quan hệ với ngân sách và kiểm soát, thanh toán vốn đầu tư công.</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Trường hợp chủ đầu tư giao nhiệm vụ cho Ban quản lý dự án đầu tư xây dựng cấp xã hoặc phòng chuyên môn thực hiện một số công việc quản lý dự án thì việc giao nhiệm vụ không làm thay đổi trách nhiệm của chủ đầu tư theo quyết định đầu tư và quy định pháp luật.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11. Tạm ứng và thanh toán vốn</w:t>
      </w:r>
    </w:p>
    <w:p w:rsidR="006C4F9F" w:rsidRPr="00382E24" w:rsidRDefault="006C4F9F" w:rsidP="006C4F9F">
      <w:pPr>
        <w:widowControl w:val="0"/>
        <w:numPr>
          <w:ilvl w:val="0"/>
          <w:numId w:val="7"/>
        </w:numPr>
        <w:pBdr>
          <w:top w:val="nil"/>
          <w:left w:val="nil"/>
          <w:bottom w:val="nil"/>
          <w:right w:val="nil"/>
          <w:between w:val="nil"/>
        </w:pBdr>
        <w:tabs>
          <w:tab w:val="left" w:pos="993"/>
          <w:tab w:val="left" w:pos="1334"/>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Hồ sơ pháp lý bao gồm:</w:t>
      </w:r>
    </w:p>
    <w:p w:rsidR="006C4F9F" w:rsidRPr="00382E24" w:rsidRDefault="006C4F9F" w:rsidP="006C4F9F">
      <w:pPr>
        <w:widowControl w:val="0"/>
        <w:numPr>
          <w:ilvl w:val="0"/>
          <w:numId w:val="5"/>
        </w:numPr>
        <w:pBdr>
          <w:top w:val="nil"/>
          <w:left w:val="nil"/>
          <w:bottom w:val="nil"/>
          <w:right w:val="nil"/>
          <w:between w:val="nil"/>
        </w:pBdr>
        <w:tabs>
          <w:tab w:val="left" w:pos="993"/>
          <w:tab w:val="left" w:pos="1339"/>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Kế hoạch đầu tư hàng năm được cấp có thẩm quyền giao</w:t>
      </w:r>
      <w:r w:rsidRPr="00382E24">
        <w:rPr>
          <w:rFonts w:ascii="Times New Roman" w:eastAsia="Times New Roman" w:hAnsi="Times New Roman" w:cs="Times New Roman"/>
          <w:i/>
          <w:iCs/>
          <w:color w:val="000000" w:themeColor="text1"/>
          <w:sz w:val="28"/>
          <w:szCs w:val="28"/>
        </w:rPr>
        <w:t xml:space="preserve"> </w:t>
      </w:r>
      <w:r w:rsidRPr="00382E24">
        <w:rPr>
          <w:rFonts w:ascii="Times New Roman" w:eastAsia="Times New Roman" w:hAnsi="Times New Roman" w:cs="Times New Roman"/>
          <w:i/>
          <w:color w:val="000000" w:themeColor="text1"/>
          <w:sz w:val="28"/>
          <w:szCs w:val="28"/>
        </w:rPr>
        <w:t xml:space="preserve">(bản chính hoặc </w:t>
      </w:r>
      <w:r w:rsidRPr="00382E24">
        <w:rPr>
          <w:rFonts w:ascii="Times New Roman" w:eastAsia="Times New Roman" w:hAnsi="Times New Roman" w:cs="Times New Roman"/>
          <w:i/>
          <w:iCs/>
          <w:color w:val="000000" w:themeColor="text1"/>
          <w:sz w:val="28"/>
          <w:szCs w:val="28"/>
        </w:rPr>
        <w:t>sao y bản chính)</w:t>
      </w:r>
      <w:r w:rsidRPr="00382E24">
        <w:rPr>
          <w:rFonts w:ascii="Times New Roman" w:eastAsia="Times New Roman" w:hAnsi="Times New Roman" w:cs="Times New Roman"/>
          <w:color w:val="000000" w:themeColor="text1"/>
          <w:sz w:val="28"/>
          <w:szCs w:val="28"/>
        </w:rPr>
        <w:t>.</w:t>
      </w:r>
    </w:p>
    <w:p w:rsidR="006C4F9F" w:rsidRPr="00382E24" w:rsidRDefault="006C4F9F" w:rsidP="006C4F9F">
      <w:pPr>
        <w:widowControl w:val="0"/>
        <w:numPr>
          <w:ilvl w:val="0"/>
          <w:numId w:val="5"/>
        </w:numPr>
        <w:pBdr>
          <w:top w:val="nil"/>
          <w:left w:val="nil"/>
          <w:bottom w:val="nil"/>
          <w:right w:val="nil"/>
          <w:between w:val="nil"/>
        </w:pBdr>
        <w:tabs>
          <w:tab w:val="left" w:pos="993"/>
          <w:tab w:val="left" w:pos="1392"/>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Quyết định phân bổ vốn hỗ trợ hiện vật của cấp có thẩm quyền (trong trường hợp hỗ trợ bằng hiện vật) </w:t>
      </w:r>
      <w:r w:rsidRPr="00382E24">
        <w:rPr>
          <w:rFonts w:ascii="Times New Roman" w:eastAsia="Times New Roman" w:hAnsi="Times New Roman" w:cs="Times New Roman"/>
          <w:i/>
          <w:color w:val="000000" w:themeColor="text1"/>
          <w:sz w:val="28"/>
          <w:szCs w:val="28"/>
        </w:rPr>
        <w:t xml:space="preserve">(bản chính hoặc </w:t>
      </w:r>
      <w:r w:rsidRPr="00382E24">
        <w:rPr>
          <w:rFonts w:ascii="Times New Roman" w:eastAsia="Times New Roman" w:hAnsi="Times New Roman" w:cs="Times New Roman"/>
          <w:i/>
          <w:iCs/>
          <w:color w:val="000000" w:themeColor="text1"/>
          <w:sz w:val="28"/>
          <w:szCs w:val="28"/>
        </w:rPr>
        <w:t>sao y bản chính)</w:t>
      </w:r>
      <w:r w:rsidRPr="00382E24">
        <w:rPr>
          <w:rFonts w:ascii="Times New Roman" w:eastAsia="Times New Roman" w:hAnsi="Times New Roman" w:cs="Times New Roman"/>
          <w:color w:val="000000" w:themeColor="text1"/>
          <w:sz w:val="28"/>
          <w:szCs w:val="28"/>
        </w:rPr>
        <w:t>.</w:t>
      </w:r>
    </w:p>
    <w:p w:rsidR="006C4F9F" w:rsidRPr="00382E24" w:rsidRDefault="006C4F9F" w:rsidP="006C4F9F">
      <w:pPr>
        <w:widowControl w:val="0"/>
        <w:numPr>
          <w:ilvl w:val="0"/>
          <w:numId w:val="5"/>
        </w:numPr>
        <w:pBdr>
          <w:top w:val="nil"/>
          <w:left w:val="nil"/>
          <w:bottom w:val="nil"/>
          <w:right w:val="nil"/>
          <w:between w:val="nil"/>
        </w:pBdr>
        <w:tabs>
          <w:tab w:val="left" w:pos="993"/>
          <w:tab w:val="left" w:pos="1353"/>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Quyết định phê duyệt hồ sơ xây dựng công trình của Chủ tịch Ủy ban nhân dân cấp xã kèm theo Hồ sơ xây dựng công trình đơn giản </w:t>
      </w:r>
      <w:r w:rsidRPr="00382E24">
        <w:rPr>
          <w:rFonts w:ascii="Times New Roman" w:eastAsia="Times New Roman" w:hAnsi="Times New Roman" w:cs="Times New Roman"/>
          <w:i/>
          <w:color w:val="000000" w:themeColor="text1"/>
          <w:sz w:val="28"/>
          <w:szCs w:val="28"/>
        </w:rPr>
        <w:t xml:space="preserve">(bản chính hoặc </w:t>
      </w:r>
      <w:r w:rsidRPr="00382E24">
        <w:rPr>
          <w:rFonts w:ascii="Times New Roman" w:eastAsia="Times New Roman" w:hAnsi="Times New Roman" w:cs="Times New Roman"/>
          <w:i/>
          <w:iCs/>
          <w:color w:val="000000" w:themeColor="text1"/>
          <w:sz w:val="28"/>
          <w:szCs w:val="28"/>
        </w:rPr>
        <w:t>sao y bản chính)</w:t>
      </w:r>
      <w:r w:rsidRPr="00382E24">
        <w:rPr>
          <w:rFonts w:ascii="Times New Roman" w:eastAsia="Times New Roman" w:hAnsi="Times New Roman" w:cs="Times New Roman"/>
          <w:color w:val="000000" w:themeColor="text1"/>
          <w:sz w:val="28"/>
          <w:szCs w:val="28"/>
        </w:rPr>
        <w:t>.</w:t>
      </w:r>
    </w:p>
    <w:p w:rsidR="006C4F9F" w:rsidRPr="00382E24" w:rsidRDefault="006C4F9F" w:rsidP="006C4F9F">
      <w:pPr>
        <w:widowControl w:val="0"/>
        <w:numPr>
          <w:ilvl w:val="0"/>
          <w:numId w:val="5"/>
        </w:numPr>
        <w:pBdr>
          <w:top w:val="nil"/>
          <w:left w:val="nil"/>
          <w:bottom w:val="nil"/>
          <w:right w:val="nil"/>
          <w:between w:val="nil"/>
        </w:pBdr>
        <w:tabs>
          <w:tab w:val="left" w:pos="993"/>
          <w:tab w:val="left" w:pos="1363"/>
        </w:tabs>
        <w:snapToGrid w:val="0"/>
        <w:spacing w:before="120" w:after="0" w:line="358" w:lineRule="exact"/>
        <w:ind w:left="0" w:firstLine="709"/>
        <w:jc w:val="both"/>
        <w:rPr>
          <w:rFonts w:ascii="Times New Roman" w:eastAsia="Times New Roman" w:hAnsi="Times New Roman" w:cs="Times New Roman"/>
          <w:color w:val="000000" w:themeColor="text1"/>
          <w:spacing w:val="4"/>
          <w:sz w:val="28"/>
          <w:szCs w:val="28"/>
        </w:rPr>
      </w:pPr>
      <w:r w:rsidRPr="00382E24">
        <w:rPr>
          <w:rFonts w:ascii="Times New Roman" w:eastAsia="Times New Roman" w:hAnsi="Times New Roman" w:cs="Times New Roman"/>
          <w:color w:val="000000" w:themeColor="text1"/>
          <w:spacing w:val="4"/>
          <w:sz w:val="28"/>
          <w:szCs w:val="28"/>
        </w:rPr>
        <w:t xml:space="preserve">Quyết định của Ủy ban nhân dân xã về việc thực hiện cơ chế giao cho cộng đồng dân cư tự thực hiện xây dựng công trình </w:t>
      </w:r>
      <w:r w:rsidRPr="00382E24">
        <w:rPr>
          <w:rFonts w:ascii="Times New Roman" w:eastAsia="Times New Roman" w:hAnsi="Times New Roman" w:cs="Times New Roman"/>
          <w:i/>
          <w:iCs/>
          <w:color w:val="000000" w:themeColor="text1"/>
          <w:spacing w:val="4"/>
          <w:sz w:val="28"/>
          <w:szCs w:val="28"/>
        </w:rPr>
        <w:t>(bản chính hoặc sao y bản chính).</w:t>
      </w:r>
    </w:p>
    <w:p w:rsidR="006C4F9F" w:rsidRPr="00382E24" w:rsidRDefault="006C4F9F" w:rsidP="006C4F9F">
      <w:pPr>
        <w:pBdr>
          <w:top w:val="nil"/>
          <w:left w:val="nil"/>
          <w:bottom w:val="nil"/>
          <w:right w:val="nil"/>
          <w:between w:val="nil"/>
        </w:pBdr>
        <w:tabs>
          <w:tab w:val="left" w:pos="993"/>
        </w:tabs>
        <w:snapToGrid w:val="0"/>
        <w:spacing w:before="120" w:after="0" w:line="358" w:lineRule="exact"/>
        <w:ind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đ) Hợp đồng thực hiện dự án được ký kết giữa Ban quản lý xã và Ban phát triển thôn </w:t>
      </w:r>
      <w:r w:rsidRPr="00382E24">
        <w:rPr>
          <w:rFonts w:ascii="Times New Roman" w:eastAsia="Times New Roman" w:hAnsi="Times New Roman" w:cs="Times New Roman"/>
          <w:i/>
          <w:iCs/>
          <w:color w:val="000000" w:themeColor="text1"/>
          <w:sz w:val="28"/>
          <w:szCs w:val="28"/>
        </w:rPr>
        <w:t>(bản chính)</w:t>
      </w:r>
      <w:r w:rsidRPr="00382E24">
        <w:rPr>
          <w:rFonts w:ascii="Times New Roman" w:eastAsia="Times New Roman" w:hAnsi="Times New Roman" w:cs="Times New Roman"/>
          <w:color w:val="000000" w:themeColor="text1"/>
          <w:sz w:val="28"/>
          <w:szCs w:val="28"/>
        </w:rPr>
        <w:t>.</w:t>
      </w:r>
    </w:p>
    <w:p w:rsidR="006C4F9F" w:rsidRPr="00382E24" w:rsidRDefault="006C4F9F" w:rsidP="006C4F9F">
      <w:pPr>
        <w:widowControl w:val="0"/>
        <w:numPr>
          <w:ilvl w:val="0"/>
          <w:numId w:val="7"/>
        </w:numPr>
        <w:pBdr>
          <w:top w:val="nil"/>
          <w:left w:val="nil"/>
          <w:bottom w:val="nil"/>
          <w:right w:val="nil"/>
          <w:between w:val="nil"/>
        </w:pBdr>
        <w:tabs>
          <w:tab w:val="left" w:pos="993"/>
          <w:tab w:val="left" w:pos="1334"/>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Tạm ứng vốn thực hiện theo mẫu biểu quy định tại Nghị định số 254/2025/NĐ-CP, bao gồm:</w:t>
      </w:r>
    </w:p>
    <w:p w:rsidR="006C4F9F" w:rsidRPr="00382E24" w:rsidRDefault="006C4F9F" w:rsidP="006C4F9F">
      <w:pPr>
        <w:widowControl w:val="0"/>
        <w:numPr>
          <w:ilvl w:val="0"/>
          <w:numId w:val="9"/>
        </w:numPr>
        <w:pBdr>
          <w:top w:val="nil"/>
          <w:left w:val="nil"/>
          <w:bottom w:val="nil"/>
          <w:right w:val="nil"/>
          <w:between w:val="nil"/>
        </w:pBdr>
        <w:tabs>
          <w:tab w:val="left" w:pos="993"/>
          <w:tab w:val="left" w:pos="1387"/>
        </w:tabs>
        <w:snapToGrid w:val="0"/>
        <w:spacing w:before="120" w:after="0" w:line="358" w:lineRule="exact"/>
        <w:ind w:left="0" w:firstLine="709"/>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color w:val="000000" w:themeColor="text1"/>
          <w:sz w:val="28"/>
          <w:szCs w:val="28"/>
        </w:rPr>
        <w:t xml:space="preserve">Giấy đề nghị thanh toán vốn </w:t>
      </w:r>
      <w:r w:rsidRPr="00382E24">
        <w:rPr>
          <w:rFonts w:ascii="Times New Roman" w:eastAsia="Times New Roman" w:hAnsi="Times New Roman" w:cs="Times New Roman"/>
          <w:i/>
          <w:color w:val="000000" w:themeColor="text1"/>
          <w:sz w:val="28"/>
          <w:szCs w:val="28"/>
        </w:rPr>
        <w:t>(Mẫu số 04.a/TT).</w:t>
      </w:r>
    </w:p>
    <w:p w:rsidR="006C4F9F" w:rsidRPr="00382E24" w:rsidRDefault="006C4F9F" w:rsidP="006C4F9F">
      <w:pPr>
        <w:widowControl w:val="0"/>
        <w:numPr>
          <w:ilvl w:val="0"/>
          <w:numId w:val="9"/>
        </w:numPr>
        <w:pBdr>
          <w:top w:val="nil"/>
          <w:left w:val="nil"/>
          <w:bottom w:val="nil"/>
          <w:right w:val="nil"/>
          <w:between w:val="nil"/>
        </w:pBdr>
        <w:tabs>
          <w:tab w:val="left" w:pos="993"/>
          <w:tab w:val="left" w:pos="1483"/>
        </w:tabs>
        <w:snapToGrid w:val="0"/>
        <w:spacing w:before="120" w:after="0" w:line="358" w:lineRule="exact"/>
        <w:ind w:left="0" w:firstLine="709"/>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color w:val="000000" w:themeColor="text1"/>
          <w:sz w:val="28"/>
          <w:szCs w:val="28"/>
        </w:rPr>
        <w:t xml:space="preserve">Giấy rút vốn </w:t>
      </w:r>
      <w:r w:rsidRPr="00382E24">
        <w:rPr>
          <w:rFonts w:ascii="Times New Roman" w:eastAsia="Times New Roman" w:hAnsi="Times New Roman" w:cs="Times New Roman"/>
          <w:i/>
          <w:color w:val="000000" w:themeColor="text1"/>
          <w:sz w:val="28"/>
          <w:szCs w:val="28"/>
        </w:rPr>
        <w:t>(Mẫu số 05.a/TT).</w:t>
      </w:r>
    </w:p>
    <w:p w:rsidR="006C4F9F" w:rsidRPr="00382E24" w:rsidRDefault="006C4F9F" w:rsidP="006C4F9F">
      <w:pPr>
        <w:widowControl w:val="0"/>
        <w:numPr>
          <w:ilvl w:val="0"/>
          <w:numId w:val="9"/>
        </w:numPr>
        <w:pBdr>
          <w:top w:val="nil"/>
          <w:left w:val="nil"/>
          <w:bottom w:val="nil"/>
          <w:right w:val="nil"/>
          <w:between w:val="nil"/>
        </w:pBdr>
        <w:tabs>
          <w:tab w:val="left" w:pos="993"/>
          <w:tab w:val="left" w:pos="1344"/>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Trong trường hợp hỗ trợ bằng hiện vật, hồ sơ ngoài quy định tại điểm a, b khoản này gồm: Quyết định lựa chọn đơn vị cung ứng trong trường hợp hỗ trợ bằng hiện vật; Hợp đồng cung ứng hiện vật giữa Ban quản lý xã và các đơn vị cung ứng.</w:t>
      </w:r>
    </w:p>
    <w:p w:rsidR="006C4F9F" w:rsidRPr="00382E24" w:rsidRDefault="006C4F9F" w:rsidP="006C4F9F">
      <w:pPr>
        <w:widowControl w:val="0"/>
        <w:numPr>
          <w:ilvl w:val="0"/>
          <w:numId w:val="7"/>
        </w:numPr>
        <w:pBdr>
          <w:top w:val="nil"/>
          <w:left w:val="nil"/>
          <w:bottom w:val="nil"/>
          <w:right w:val="nil"/>
          <w:between w:val="nil"/>
        </w:pBdr>
        <w:tabs>
          <w:tab w:val="left" w:pos="993"/>
          <w:tab w:val="left" w:pos="1334"/>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Thanh toán vốn thực hiện theo mẫu biểu quy định tại Nghị định số 254/2025/NĐ-CP, bao gồm:</w:t>
      </w:r>
    </w:p>
    <w:p w:rsidR="006C4F9F" w:rsidRPr="00382E24" w:rsidRDefault="006C4F9F" w:rsidP="006C4F9F">
      <w:pPr>
        <w:widowControl w:val="0"/>
        <w:numPr>
          <w:ilvl w:val="0"/>
          <w:numId w:val="8"/>
        </w:numPr>
        <w:pBdr>
          <w:top w:val="nil"/>
          <w:left w:val="nil"/>
          <w:bottom w:val="nil"/>
          <w:right w:val="nil"/>
          <w:between w:val="nil"/>
        </w:pBdr>
        <w:tabs>
          <w:tab w:val="left" w:pos="993"/>
          <w:tab w:val="left" w:pos="1387"/>
        </w:tabs>
        <w:snapToGrid w:val="0"/>
        <w:spacing w:before="120" w:after="0" w:line="358" w:lineRule="exact"/>
        <w:ind w:left="0" w:firstLine="709"/>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color w:val="000000" w:themeColor="text1"/>
          <w:sz w:val="28"/>
          <w:szCs w:val="28"/>
        </w:rPr>
        <w:t xml:space="preserve">Giấy đề nghị thanh toán vốn </w:t>
      </w:r>
      <w:r w:rsidRPr="00382E24">
        <w:rPr>
          <w:rFonts w:ascii="Times New Roman" w:eastAsia="Times New Roman" w:hAnsi="Times New Roman" w:cs="Times New Roman"/>
          <w:i/>
          <w:color w:val="000000" w:themeColor="text1"/>
          <w:sz w:val="28"/>
          <w:szCs w:val="28"/>
        </w:rPr>
        <w:t>(Mẫu số 04.a/</w:t>
      </w:r>
      <w:proofErr w:type="gramStart"/>
      <w:r w:rsidRPr="00382E24">
        <w:rPr>
          <w:rFonts w:ascii="Times New Roman" w:eastAsia="Times New Roman" w:hAnsi="Times New Roman" w:cs="Times New Roman"/>
          <w:i/>
          <w:color w:val="000000" w:themeColor="text1"/>
          <w:sz w:val="28"/>
          <w:szCs w:val="28"/>
        </w:rPr>
        <w:t>TT )</w:t>
      </w:r>
      <w:proofErr w:type="gramEnd"/>
      <w:r w:rsidRPr="00382E24">
        <w:rPr>
          <w:rFonts w:ascii="Times New Roman" w:eastAsia="Times New Roman" w:hAnsi="Times New Roman" w:cs="Times New Roman"/>
          <w:i/>
          <w:color w:val="000000" w:themeColor="text1"/>
          <w:sz w:val="28"/>
          <w:szCs w:val="28"/>
        </w:rPr>
        <w:t>.</w:t>
      </w:r>
    </w:p>
    <w:p w:rsidR="006C4F9F" w:rsidRPr="00382E24" w:rsidRDefault="006C4F9F" w:rsidP="006C4F9F">
      <w:pPr>
        <w:widowControl w:val="0"/>
        <w:numPr>
          <w:ilvl w:val="0"/>
          <w:numId w:val="8"/>
        </w:numPr>
        <w:pBdr>
          <w:top w:val="nil"/>
          <w:left w:val="nil"/>
          <w:bottom w:val="nil"/>
          <w:right w:val="nil"/>
          <w:between w:val="nil"/>
        </w:pBdr>
        <w:tabs>
          <w:tab w:val="left" w:pos="993"/>
          <w:tab w:val="left" w:pos="1483"/>
        </w:tabs>
        <w:snapToGrid w:val="0"/>
        <w:spacing w:before="120" w:after="0" w:line="358" w:lineRule="exact"/>
        <w:ind w:left="0" w:firstLine="709"/>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color w:val="000000" w:themeColor="text1"/>
          <w:sz w:val="28"/>
          <w:szCs w:val="28"/>
        </w:rPr>
        <w:t xml:space="preserve">Giấy rút vốn </w:t>
      </w:r>
      <w:r w:rsidRPr="00382E24">
        <w:rPr>
          <w:rFonts w:ascii="Times New Roman" w:eastAsia="Times New Roman" w:hAnsi="Times New Roman" w:cs="Times New Roman"/>
          <w:i/>
          <w:color w:val="000000" w:themeColor="text1"/>
          <w:sz w:val="28"/>
          <w:szCs w:val="28"/>
        </w:rPr>
        <w:t>(Mẫu số 05.a/TT).</w:t>
      </w:r>
    </w:p>
    <w:p w:rsidR="006C4F9F" w:rsidRPr="00382E24" w:rsidRDefault="006C4F9F" w:rsidP="006C4F9F">
      <w:pPr>
        <w:widowControl w:val="0"/>
        <w:numPr>
          <w:ilvl w:val="0"/>
          <w:numId w:val="8"/>
        </w:numPr>
        <w:pBdr>
          <w:top w:val="nil"/>
          <w:left w:val="nil"/>
          <w:bottom w:val="nil"/>
          <w:right w:val="nil"/>
          <w:between w:val="nil"/>
        </w:pBdr>
        <w:tabs>
          <w:tab w:val="left" w:pos="993"/>
          <w:tab w:val="left" w:pos="1363"/>
        </w:tabs>
        <w:snapToGrid w:val="0"/>
        <w:spacing w:before="120" w:after="0" w:line="358" w:lineRule="exact"/>
        <w:ind w:left="0" w:firstLine="709"/>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color w:val="000000" w:themeColor="text1"/>
          <w:sz w:val="28"/>
          <w:szCs w:val="28"/>
        </w:rPr>
        <w:t xml:space="preserve">Giấy đề nghị thu hồi vốn tạm ứng </w:t>
      </w:r>
      <w:r w:rsidRPr="00382E24">
        <w:rPr>
          <w:rFonts w:ascii="Times New Roman" w:eastAsia="Times New Roman" w:hAnsi="Times New Roman" w:cs="Times New Roman"/>
          <w:i/>
          <w:color w:val="000000" w:themeColor="text1"/>
          <w:sz w:val="28"/>
          <w:szCs w:val="28"/>
        </w:rPr>
        <w:t>(đối với trường hợp thu hồi tạm ứng, Mẫu số 04.b/TT).</w:t>
      </w:r>
    </w:p>
    <w:p w:rsidR="006C4F9F" w:rsidRPr="00382E24" w:rsidRDefault="006C4F9F" w:rsidP="006C4F9F">
      <w:pPr>
        <w:widowControl w:val="0"/>
        <w:numPr>
          <w:ilvl w:val="0"/>
          <w:numId w:val="8"/>
        </w:numPr>
        <w:pBdr>
          <w:top w:val="nil"/>
          <w:left w:val="nil"/>
          <w:bottom w:val="nil"/>
          <w:right w:val="nil"/>
          <w:between w:val="nil"/>
        </w:pBdr>
        <w:tabs>
          <w:tab w:val="left" w:pos="993"/>
          <w:tab w:val="left" w:pos="1373"/>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Bảng xác định giá trị khối lượng công việc hoàn thành </w:t>
      </w:r>
      <w:r w:rsidRPr="00382E24">
        <w:rPr>
          <w:rFonts w:ascii="Times New Roman" w:eastAsia="Times New Roman" w:hAnsi="Times New Roman" w:cs="Times New Roman"/>
          <w:i/>
          <w:color w:val="000000" w:themeColor="text1"/>
          <w:sz w:val="28"/>
          <w:szCs w:val="28"/>
        </w:rPr>
        <w:t>(Mẫu số 03.a/TT)</w:t>
      </w:r>
      <w:r w:rsidRPr="00382E24">
        <w:rPr>
          <w:rFonts w:ascii="Times New Roman" w:eastAsia="Times New Roman" w:hAnsi="Times New Roman" w:cs="Times New Roman"/>
          <w:color w:val="000000" w:themeColor="text1"/>
          <w:sz w:val="28"/>
          <w:szCs w:val="28"/>
        </w:rPr>
        <w:t>.</w:t>
      </w:r>
    </w:p>
    <w:p w:rsidR="006C4F9F" w:rsidRPr="00382E24" w:rsidRDefault="006C4F9F" w:rsidP="006C4F9F">
      <w:pPr>
        <w:pBdr>
          <w:top w:val="nil"/>
          <w:left w:val="nil"/>
          <w:bottom w:val="nil"/>
          <w:right w:val="nil"/>
          <w:between w:val="nil"/>
        </w:pBdr>
        <w:tabs>
          <w:tab w:val="left" w:pos="993"/>
        </w:tabs>
        <w:snapToGrid w:val="0"/>
        <w:spacing w:before="120" w:after="0" w:line="358" w:lineRule="exact"/>
        <w:ind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đ) Trong trường hợp hỗ trợ bằng hiện vật, hồ sơ ngoài quy định tại điểm a, b, c, d khoản này gồm: Quyết định lựa chọn đơn vị cung ứng hiện vật; Hợp đồng, thanh lý hợp đồng giữa Chủ đầu tư và các đơn vị cung ứng.</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Việc thanh toán cho Ban phát triển thôn và các đối tượng có liên quan được thực hiện thông qua tài khoản theo quy định của pháp luật. Trường hợp phát sinh nhu cầu thanh toán bằng tiền mặt thì phải đáp ứng đầy đủ điều kiện và giới hạn thanh toán bằng tiền mặt theo quy định của pháp luật.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12. Quyết toán vốn đầu tư theo niên độ</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Chủ đầu tư thực hiện dự án sử dụng vốn đầu tư công có trách nhiệm lập báo cáo quyết toán vốn đầu tư công theo niên độ khi kết thúc năm ngân sách và gửi cơ quan có thẩm quyền theo quy định.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Việc lập, gửi, xét duyệt, tổng hợp và báo cáo quyết toán theo niên độ thực hiện theo Nghị định số 254/2025/NĐ-CP, Thông tư số 91/2025/TT-BTC và quy định của Ủy ban nhân dân thành phố về trình tự, thời hạn lập, gửi, xét duyệt quyết toán vốn đầu tư công theo niên độ.</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Trường hợp cơ quan có thẩm quyền ban hành quy định riêng về trình tự, thời hạn quyết toán theo niên độ trên địa bàn thành phố thì thực hiện theo quy định đó.</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13. Quyết toán vốn đầu tư dự án hoàn thành</w:t>
      </w:r>
    </w:p>
    <w:p w:rsidR="006C4F9F" w:rsidRPr="00382E24" w:rsidRDefault="006C4F9F" w:rsidP="006C4F9F">
      <w:pPr>
        <w:widowControl w:val="0"/>
        <w:numPr>
          <w:ilvl w:val="0"/>
          <w:numId w:val="6"/>
        </w:numPr>
        <w:pBdr>
          <w:top w:val="nil"/>
          <w:left w:val="nil"/>
          <w:bottom w:val="nil"/>
          <w:right w:val="nil"/>
          <w:between w:val="nil"/>
        </w:pBdr>
        <w:tabs>
          <w:tab w:val="left" w:pos="993"/>
          <w:tab w:val="left" w:pos="1349"/>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lang w:val="nl-NL"/>
        </w:rPr>
        <w:t xml:space="preserve">Khi dự án hoàn thành bàn giao đưa vào sử dụng, Chủ đầu tư phải lập báo cáo quyết toán vốn đầu tư trình cấp có thẩm quyền thẩm tra, phê duyệt quyết toán vốn đầu tư dự án hoàn thành. </w:t>
      </w:r>
      <w:r w:rsidRPr="00382E24">
        <w:rPr>
          <w:rFonts w:ascii="Times New Roman" w:eastAsia="Times New Roman" w:hAnsi="Times New Roman" w:cs="Times New Roman"/>
          <w:color w:val="000000" w:themeColor="text1"/>
          <w:sz w:val="28"/>
          <w:szCs w:val="28"/>
        </w:rPr>
        <w:t>Thành phần hồ sơ quyết toán gồm có:</w:t>
      </w:r>
    </w:p>
    <w:p w:rsidR="006C4F9F" w:rsidRPr="00382E24" w:rsidRDefault="006C4F9F" w:rsidP="006C4F9F">
      <w:pPr>
        <w:widowControl w:val="0"/>
        <w:numPr>
          <w:ilvl w:val="0"/>
          <w:numId w:val="4"/>
        </w:numPr>
        <w:pBdr>
          <w:top w:val="nil"/>
          <w:left w:val="nil"/>
          <w:bottom w:val="nil"/>
          <w:right w:val="nil"/>
          <w:between w:val="nil"/>
        </w:pBdr>
        <w:tabs>
          <w:tab w:val="left" w:pos="993"/>
          <w:tab w:val="left" w:pos="1367"/>
        </w:tabs>
        <w:snapToGrid w:val="0"/>
        <w:spacing w:before="120" w:after="0" w:line="358" w:lineRule="exact"/>
        <w:ind w:left="0" w:firstLine="709"/>
        <w:jc w:val="both"/>
        <w:rPr>
          <w:rFonts w:ascii="Times New Roman" w:eastAsia="Times New Roman" w:hAnsi="Times New Roman" w:cs="Times New Roman"/>
          <w:color w:val="000000" w:themeColor="text1"/>
          <w:spacing w:val="-2"/>
          <w:sz w:val="28"/>
          <w:szCs w:val="28"/>
        </w:rPr>
      </w:pPr>
      <w:r w:rsidRPr="00382E24">
        <w:rPr>
          <w:rFonts w:ascii="Times New Roman" w:eastAsia="Times New Roman" w:hAnsi="Times New Roman" w:cs="Times New Roman"/>
          <w:color w:val="000000" w:themeColor="text1"/>
          <w:spacing w:val="-2"/>
          <w:sz w:val="28"/>
          <w:szCs w:val="28"/>
        </w:rPr>
        <w:t xml:space="preserve">Tờ trình đề nghị phê duyệt quyết toán của Chủ đầu tư </w:t>
      </w:r>
      <w:r w:rsidRPr="00382E24">
        <w:rPr>
          <w:rFonts w:ascii="Times New Roman" w:eastAsia="Times New Roman" w:hAnsi="Times New Roman" w:cs="Times New Roman"/>
          <w:i/>
          <w:color w:val="000000" w:themeColor="text1"/>
          <w:spacing w:val="-2"/>
          <w:sz w:val="28"/>
          <w:szCs w:val="28"/>
        </w:rPr>
        <w:t xml:space="preserve">(bản chính). </w:t>
      </w:r>
      <w:r w:rsidRPr="00382E24">
        <w:rPr>
          <w:rFonts w:ascii="Times New Roman" w:eastAsia="Times New Roman" w:hAnsi="Times New Roman" w:cs="Times New Roman"/>
          <w:color w:val="000000" w:themeColor="text1"/>
          <w:spacing w:val="-2"/>
          <w:sz w:val="28"/>
          <w:szCs w:val="28"/>
        </w:rPr>
        <w:t>Nội dung tờ trình nêu rõ việc thực hiện kiểm toán, thanh tra, kiểm tra, điều tra đối với dự án (nếu có) và việc chấp hành của Chủ đầu tư đối với kiến nghị của các cơ quan trên.</w:t>
      </w:r>
    </w:p>
    <w:p w:rsidR="006C4F9F" w:rsidRPr="00382E24" w:rsidRDefault="006C4F9F" w:rsidP="006C4F9F">
      <w:pPr>
        <w:widowControl w:val="0"/>
        <w:numPr>
          <w:ilvl w:val="0"/>
          <w:numId w:val="4"/>
        </w:numPr>
        <w:pBdr>
          <w:top w:val="nil"/>
          <w:left w:val="nil"/>
          <w:bottom w:val="nil"/>
          <w:right w:val="nil"/>
          <w:between w:val="nil"/>
        </w:pBdr>
        <w:tabs>
          <w:tab w:val="left" w:pos="993"/>
          <w:tab w:val="left" w:pos="1344"/>
        </w:tabs>
        <w:snapToGrid w:val="0"/>
        <w:spacing w:before="120" w:after="0" w:line="358" w:lineRule="exact"/>
        <w:ind w:left="0" w:firstLine="709"/>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color w:val="000000" w:themeColor="text1"/>
          <w:sz w:val="28"/>
          <w:szCs w:val="28"/>
        </w:rPr>
        <w:t xml:space="preserve">Biểu mẫu báo cáo quyết toán gồm: Biểu mẫu số 01/QTDA, số 02/QTDA, số 03/QTDA, 05/QTDA, 06/QTDA, 07/QTDA ban hành kèm theo Thông tư số 73/2026/TT-BTC ngày 25 tháng 6 năm 2026 của Bộ Tài chính quy định về hệ thống mẫu biểu sử dụng trong công tác quyết toán vốn đầu tư dự án </w:t>
      </w:r>
      <w:r w:rsidRPr="00382E24">
        <w:rPr>
          <w:rFonts w:ascii="Times New Roman" w:eastAsia="Times New Roman" w:hAnsi="Times New Roman" w:cs="Times New Roman"/>
          <w:i/>
          <w:color w:val="000000" w:themeColor="text1"/>
          <w:sz w:val="28"/>
          <w:szCs w:val="28"/>
        </w:rPr>
        <w:t>(bản chính).</w:t>
      </w:r>
    </w:p>
    <w:p w:rsidR="006C4F9F" w:rsidRPr="00382E24" w:rsidRDefault="006C4F9F" w:rsidP="006C4F9F">
      <w:pPr>
        <w:widowControl w:val="0"/>
        <w:numPr>
          <w:ilvl w:val="0"/>
          <w:numId w:val="4"/>
        </w:numPr>
        <w:pBdr>
          <w:top w:val="nil"/>
          <w:left w:val="nil"/>
          <w:bottom w:val="nil"/>
          <w:right w:val="nil"/>
          <w:between w:val="nil"/>
        </w:pBdr>
        <w:tabs>
          <w:tab w:val="left" w:pos="993"/>
          <w:tab w:val="left" w:pos="1339"/>
        </w:tabs>
        <w:snapToGrid w:val="0"/>
        <w:spacing w:before="120" w:after="0" w:line="358" w:lineRule="exact"/>
        <w:ind w:left="0" w:firstLine="709"/>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color w:val="000000" w:themeColor="text1"/>
          <w:sz w:val="28"/>
          <w:szCs w:val="28"/>
        </w:rPr>
        <w:t xml:space="preserve">Các văn bản pháp lý có liên quan gồm: Quyết định phê duyệt đầu tư dự án và các văn bản điều chỉnh, bổ sung (nếu có); Quyết định của Ủy ban nhân dân cấp xã về việc thực hiện cơ chế giao cho cộng đồng dân cư tự thực hiện xây dựng công trình; Quyết định lựa chọn đơn vị cung ứng hiện vật; Các văn bản pháp lý khác trong quá trình triển khai thực hiện dự án/gói thầu </w:t>
      </w:r>
      <w:r w:rsidRPr="00382E24">
        <w:rPr>
          <w:rFonts w:ascii="Times New Roman" w:eastAsia="Times New Roman" w:hAnsi="Times New Roman" w:cs="Times New Roman"/>
          <w:i/>
          <w:color w:val="000000" w:themeColor="text1"/>
          <w:sz w:val="28"/>
          <w:szCs w:val="28"/>
        </w:rPr>
        <w:t>(bản chính hoặc do Chủ đầu tư sao y bản chính).</w:t>
      </w:r>
    </w:p>
    <w:p w:rsidR="006C4F9F" w:rsidRPr="00382E24" w:rsidRDefault="006C4F9F" w:rsidP="006C4F9F">
      <w:pPr>
        <w:widowControl w:val="0"/>
        <w:numPr>
          <w:ilvl w:val="0"/>
          <w:numId w:val="4"/>
        </w:numPr>
        <w:pBdr>
          <w:top w:val="nil"/>
          <w:left w:val="nil"/>
          <w:bottom w:val="nil"/>
          <w:right w:val="nil"/>
          <w:between w:val="nil"/>
        </w:pBdr>
        <w:tabs>
          <w:tab w:val="left" w:pos="993"/>
          <w:tab w:val="left" w:pos="1219"/>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Hợp đồng, thanh lý hợp đồng (trường hợp đủ điều kiện thanh lý hợp đồng) thực hiện dự án/gói thầu được ký kết giữa Ban quản lý xã và Ban phát triển thôn </w:t>
      </w:r>
      <w:r w:rsidRPr="00382E24">
        <w:rPr>
          <w:rFonts w:ascii="Times New Roman" w:eastAsia="Times New Roman" w:hAnsi="Times New Roman" w:cs="Times New Roman"/>
          <w:i/>
          <w:color w:val="000000" w:themeColor="text1"/>
          <w:sz w:val="28"/>
          <w:szCs w:val="28"/>
        </w:rPr>
        <w:t>(Bản chính</w:t>
      </w:r>
      <w:r w:rsidRPr="00382E24">
        <w:rPr>
          <w:rFonts w:ascii="Times New Roman" w:eastAsia="Times New Roman" w:hAnsi="Times New Roman" w:cs="Times New Roman"/>
          <w:color w:val="000000" w:themeColor="text1"/>
          <w:sz w:val="28"/>
          <w:szCs w:val="28"/>
        </w:rPr>
        <w:t>);</w:t>
      </w:r>
    </w:p>
    <w:p w:rsidR="006C4F9F" w:rsidRPr="00382E24" w:rsidRDefault="006C4F9F" w:rsidP="006C4F9F">
      <w:pPr>
        <w:pBdr>
          <w:top w:val="nil"/>
          <w:left w:val="nil"/>
          <w:bottom w:val="nil"/>
          <w:right w:val="nil"/>
          <w:between w:val="nil"/>
        </w:pBdr>
        <w:tabs>
          <w:tab w:val="left" w:pos="993"/>
        </w:tabs>
        <w:snapToGrid w:val="0"/>
        <w:spacing w:before="120" w:after="0" w:line="358" w:lineRule="exact"/>
        <w:ind w:firstLine="709"/>
        <w:jc w:val="both"/>
        <w:rPr>
          <w:rFonts w:ascii="Times New Roman" w:eastAsia="Times New Roman" w:hAnsi="Times New Roman" w:cs="Times New Roman"/>
          <w:i/>
          <w:color w:val="000000" w:themeColor="text1"/>
          <w:sz w:val="28"/>
          <w:szCs w:val="28"/>
        </w:rPr>
      </w:pPr>
      <w:r w:rsidRPr="00382E24">
        <w:rPr>
          <w:rFonts w:ascii="Times New Roman" w:eastAsia="Times New Roman" w:hAnsi="Times New Roman" w:cs="Times New Roman"/>
          <w:color w:val="000000" w:themeColor="text1"/>
          <w:sz w:val="28"/>
          <w:szCs w:val="28"/>
        </w:rPr>
        <w:t xml:space="preserve">đ) Hợp đồng, thanh lý hợp đồng (trường hợp đủ điều kiện thanh lý hợp đồng) giữa Chủ đầu tư với các đơn vị cung ứng hiện vật; Biên bản giao nhận hiện vật, hóa đơn mua hàng trong trường hợp hỗ trợ bằng hiện vật </w:t>
      </w:r>
      <w:r w:rsidRPr="00382E24">
        <w:rPr>
          <w:rFonts w:ascii="Times New Roman" w:eastAsia="Times New Roman" w:hAnsi="Times New Roman" w:cs="Times New Roman"/>
          <w:i/>
          <w:color w:val="000000" w:themeColor="text1"/>
          <w:sz w:val="28"/>
          <w:szCs w:val="28"/>
        </w:rPr>
        <w:t>(bản chính hoặc do Chủ đầu tư sao y bản chính).</w:t>
      </w:r>
    </w:p>
    <w:p w:rsidR="006C4F9F" w:rsidRPr="00382E24" w:rsidRDefault="006C4F9F" w:rsidP="006C4F9F">
      <w:pPr>
        <w:widowControl w:val="0"/>
        <w:numPr>
          <w:ilvl w:val="0"/>
          <w:numId w:val="4"/>
        </w:numPr>
        <w:pBdr>
          <w:top w:val="nil"/>
          <w:left w:val="nil"/>
          <w:bottom w:val="nil"/>
          <w:right w:val="nil"/>
          <w:between w:val="nil"/>
        </w:pBdr>
        <w:tabs>
          <w:tab w:val="left" w:pos="993"/>
          <w:tab w:val="left" w:pos="1219"/>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Biên bản nghiệm thu khối lượng xây lắp hoàn thành theo giai đoạn thanh toán; Biên bản nghiệm thu khối lượng hoàn thành toàn bộ hợp đồng; Biên bản nghiệm thu công trình hoàn thành đưa vào sử dụng (</w:t>
      </w:r>
      <w:r w:rsidRPr="00382E24">
        <w:rPr>
          <w:rFonts w:ascii="Times New Roman" w:eastAsia="Times New Roman" w:hAnsi="Times New Roman" w:cs="Times New Roman"/>
          <w:i/>
          <w:color w:val="000000" w:themeColor="text1"/>
          <w:sz w:val="28"/>
          <w:szCs w:val="28"/>
        </w:rPr>
        <w:t>bản chính</w:t>
      </w:r>
      <w:r w:rsidRPr="00382E24">
        <w:rPr>
          <w:rFonts w:ascii="Times New Roman" w:eastAsia="Times New Roman" w:hAnsi="Times New Roman" w:cs="Times New Roman"/>
          <w:color w:val="000000" w:themeColor="text1"/>
          <w:sz w:val="28"/>
          <w:szCs w:val="28"/>
        </w:rPr>
        <w:t>);</w:t>
      </w:r>
    </w:p>
    <w:p w:rsidR="006C4F9F" w:rsidRPr="00382E24" w:rsidRDefault="006C4F9F" w:rsidP="006C4F9F">
      <w:pPr>
        <w:widowControl w:val="0"/>
        <w:numPr>
          <w:ilvl w:val="0"/>
          <w:numId w:val="10"/>
        </w:numPr>
        <w:pBdr>
          <w:top w:val="nil"/>
          <w:left w:val="nil"/>
          <w:bottom w:val="nil"/>
          <w:right w:val="nil"/>
          <w:between w:val="nil"/>
        </w:pBdr>
        <w:tabs>
          <w:tab w:val="left" w:pos="993"/>
          <w:tab w:val="left" w:pos="1190"/>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Bảng tính giá trị quyết toán hợp đồng giữa Ban quản lý xã (bên A) và Ban phát triển thôn (bên B) (</w:t>
      </w:r>
      <w:r w:rsidRPr="00382E24">
        <w:rPr>
          <w:rFonts w:ascii="Times New Roman" w:eastAsia="Times New Roman" w:hAnsi="Times New Roman" w:cs="Times New Roman"/>
          <w:i/>
          <w:color w:val="000000" w:themeColor="text1"/>
          <w:sz w:val="28"/>
          <w:szCs w:val="28"/>
        </w:rPr>
        <w:t>bản chính</w:t>
      </w:r>
      <w:r w:rsidRPr="00382E24">
        <w:rPr>
          <w:rFonts w:ascii="Times New Roman" w:eastAsia="Times New Roman" w:hAnsi="Times New Roman" w:cs="Times New Roman"/>
          <w:color w:val="000000" w:themeColor="text1"/>
          <w:sz w:val="28"/>
          <w:szCs w:val="28"/>
        </w:rPr>
        <w:t>);</w:t>
      </w:r>
    </w:p>
    <w:p w:rsidR="006C4F9F" w:rsidRPr="00382E24" w:rsidRDefault="006C4F9F" w:rsidP="006C4F9F">
      <w:pPr>
        <w:widowControl w:val="0"/>
        <w:numPr>
          <w:ilvl w:val="0"/>
          <w:numId w:val="10"/>
        </w:numPr>
        <w:pBdr>
          <w:top w:val="nil"/>
          <w:left w:val="nil"/>
          <w:bottom w:val="nil"/>
          <w:right w:val="nil"/>
          <w:between w:val="nil"/>
        </w:pBdr>
        <w:tabs>
          <w:tab w:val="left" w:pos="993"/>
          <w:tab w:val="left" w:pos="1219"/>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Bảng tổng hợp quyết toán nguồn vốn huy động khác và các tài liệu, chứng từ chứng minh kèm theo (nếu có);</w:t>
      </w:r>
    </w:p>
    <w:p w:rsidR="006C4F9F" w:rsidRPr="00382E24" w:rsidRDefault="006C4F9F" w:rsidP="006C4F9F">
      <w:pPr>
        <w:widowControl w:val="0"/>
        <w:numPr>
          <w:ilvl w:val="0"/>
          <w:numId w:val="10"/>
        </w:numPr>
        <w:pBdr>
          <w:top w:val="nil"/>
          <w:left w:val="nil"/>
          <w:bottom w:val="nil"/>
          <w:right w:val="nil"/>
          <w:between w:val="nil"/>
        </w:pBdr>
        <w:tabs>
          <w:tab w:val="left" w:pos="993"/>
          <w:tab w:val="left" w:pos="1214"/>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Kết quả kiểm toán, thanh tra, kiểm tra, quyết định xử lý vi phạm của các cơ quan Kiểm toán nhà nước, thanh tra, kiểm tra, kết quả điều tra của cơ quan pháp luật (nếu có);</w:t>
      </w:r>
    </w:p>
    <w:p w:rsidR="006C4F9F" w:rsidRPr="00382E24" w:rsidRDefault="006C4F9F" w:rsidP="006C4F9F">
      <w:pPr>
        <w:widowControl w:val="0"/>
        <w:numPr>
          <w:ilvl w:val="0"/>
          <w:numId w:val="11"/>
        </w:numPr>
        <w:pBdr>
          <w:top w:val="nil"/>
          <w:left w:val="nil"/>
          <w:bottom w:val="nil"/>
          <w:right w:val="nil"/>
          <w:between w:val="nil"/>
        </w:pBdr>
        <w:tabs>
          <w:tab w:val="left" w:pos="993"/>
          <w:tab w:val="left" w:pos="1152"/>
        </w:tabs>
        <w:snapToGrid w:val="0"/>
        <w:spacing w:before="120" w:after="0" w:line="358" w:lineRule="exact"/>
        <w:ind w:left="0" w:firstLine="709"/>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Trong quá trình thẩm tra, khi cơ quan thẩm tra có văn bản yêu cầu, chủ đầu tư có trách nhiệm bổ sung các tài liệu có liên quan đến công trình, dự án để phục vụ công tác thẩm tra quyết toán.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Thời hạn chủ đầu tư lập hồ sơ quyết toán trình phê duyệt thực hiện theo nhóm dự án quy định tại Nghị định số 193/2026/NĐ-CP; đối với dự án nhóm C là 04 tháng kể từ ngày dự án hoàn thành, bàn giao đưa vào khai thác, sử dụng hoặc ngày có hiệu lực của văn bản cho phép dừng thực hiện dự án.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Chủ đầu tư chịu trách nhiệm về tính chính xác, trung thực, hợp pháp của hồ sơ, tài liệu và số liệu quyết toán; có trách nhiệm giải trình, bổ sung hồ sơ theo yêu cầu của cơ quan chủ trì thẩm tra quyết toán.</w:t>
      </w:r>
    </w:p>
    <w:p w:rsidR="006C4F9F" w:rsidRPr="00382E24" w:rsidRDefault="006C4F9F" w:rsidP="006C4F9F">
      <w:pPr>
        <w:shd w:val="clear" w:color="auto" w:fill="FFFFFF"/>
        <w:spacing w:before="120" w:after="0" w:line="240" w:lineRule="auto"/>
        <w:ind w:firstLine="851"/>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Chương IV</w:t>
      </w:r>
    </w:p>
    <w:p w:rsidR="006C4F9F" w:rsidRPr="00382E24" w:rsidRDefault="006C4F9F" w:rsidP="006C4F9F">
      <w:pPr>
        <w:shd w:val="clear" w:color="auto" w:fill="FFFFFF"/>
        <w:spacing w:before="120" w:after="0" w:line="240" w:lineRule="auto"/>
        <w:ind w:firstLine="851"/>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TRÁCH NHIỆM CỦA CÁC CƠ QUAN, ĐƠN VỊ, TỔ CHỨC VÀ CỘNG ĐỒNG DÂN CƯ</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14. Trách nhiệm của Sở Tài chính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Chủ trì, phối hợp với các sở, ban, ngành, địa phương tổ chức triển khai thực hiện Quy định này.</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Hướng dẫn, theo dõi, kiểm tra việc thực hiện; tổng hợp khó khăn, vướng mắc phát sinh, báo cáo và đề xuất Ủy ban nhân dân thành phố xem xét, quyết định theo thẩm quyền.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bookmarkStart w:id="0" w:name="_GoBack"/>
      <w:bookmarkEnd w:id="0"/>
      <w:r w:rsidRPr="00382E24">
        <w:rPr>
          <w:rFonts w:ascii="Times New Roman" w:eastAsia="Times New Roman" w:hAnsi="Times New Roman" w:cs="Times New Roman"/>
          <w:color w:val="000000" w:themeColor="text1"/>
          <w:sz w:val="28"/>
          <w:szCs w:val="28"/>
        </w:rPr>
        <w:t>3. Phối hợp với các cơ quan có liên quan kiểm tra, giám sát công tác quản lý, sử dụng, thanh toán và quyết toán vốn đầu tư nguồn ngân sách nhà nước giao cho cộng đồng dân cư tự thực hiện.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Theo dõi, tổng hợp tình hình thực hiện chính sách hỗ trợ; trường hợp cần thiết, tham mưu Ủy ban nhân dân thành phố điều chỉnh hình thức, mức hỗ trợ cho phù hợp quy định và khả năng cân đối ngân sách.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15. Trách nhiệm của các sở, ban, ngành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Trong phạm vi chức năng, nhiệm vụ, quyền hạn được giao, phối hợp với Sở Tài chính hướng dẫn, kiểm tra việc thực hiện Quy định này.</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Thực hiện quản lý nhà nước đối với dự án thuộc lĩnh vực quản lý; kịp thời xử lý hoặc đề xuất cấp có thẩm quyền xử lý khó khăn, vướng mắc phát sinh.</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Phối hợp với Ủy ban nhân dân cấp xã trong việc tổ chức thực hiện, kiểm tra, giám sát các dự án giao cộng đồng dân cư tự thực hiện theo quy định của pháp luật.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16. Trách nhiệm của Ủy ban nhân dân cấp xã</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Tổ chức triển khai thực hiện Quy định này trên địa bàn quản lý; lựa chọn cơ chế giao cộng đồng dân cư tự thực hiện dự án theo đúng điều kiện quy định tại Nghị định số 358/2025/NĐ-CP.</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Thực hiện đầy đủ trách nhiệm của chủ đầu tư theo quyết định đầu tư và quy định của pháp luật; tổ chức quản lý, sử dụng vốn đúng mục tiêu, đúng nội dung, đúng nguồn vốn và đúng kế hoạch vốn được giao.</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Giao phòng chuyên môn hoặc Ban quản lý dự án đầu tư xây dựng cấp xã (nếu có) thực hiện các nhiệm vụ theo quy định; bảo đảm phân công rõ trách nhiệm, không chồng chéo và không làm thay đổi thẩm quyền, trách nhiệm của chủ đầu tư.</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Kiểm tra, giám sát việc thực hiện dự án, quản lý và sử dụng vốn; giám sát việc thực hiện hợp đồng, nghiệm thu, thanh toán, quyết toán và việc quản lý tài sản hình thành sau đầu tư.</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5. Thực hiện công khai, minh bạch các nội dung về dự án, nguồn vốn, mức hỗ trợ, kết quả thực hiện và quyết toán theo quy định của pháp luật.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6. Chịu trách nhiệm trước pháp luật và trước Ủy ban nhân dân thành phố về việc quản lý, sử dụng vốn và tổ chức thực hiện dự án thuộc phạm vi quản lý.</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17. Trách nhiệm của Ban phát triển thôn và cộng đồng dân cư</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Tổ chức thực hiện dự án theo đúng quyết định đầu tư, thiết kế, dự toán, hợp đồng và quy định của pháp luật.</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Quản lý, sử dụng vốn, vật tư, vật liệu, hiện vật được hỗ trợ đúng mục đích; bảo đảm tiết kiệm, hiệu quả và không để thất thoát, lãng phí.</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3. Lập, quản lý và cung cấp đầy đủ hồ sơ, tài liệu, chứng từ phục vụ tạm ứng, thanh toán, quyết toán; thực hiện chế độ báo cáo theo yêu cầu.</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4. Tổ chức nghiệm thu, xác nhận khối lượng hoàn thành theo quy định; chịu trách nhiệm về tính trung thực, chính xác, hợp pháp của hồ sơ, tài liệu và số liệu do mình lập, xác nhận.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5. Thực hiện công khai trong cộng đồng dân cư về nguồn vốn hỗ trợ, phần đóng góp, khối lượng thực hiện, chi phí và kết quả quyết toán theo quy định.</w:t>
      </w:r>
    </w:p>
    <w:p w:rsidR="006C4F9F" w:rsidRPr="00382E24" w:rsidRDefault="006C4F9F" w:rsidP="006C4F9F">
      <w:pPr>
        <w:shd w:val="clear" w:color="auto" w:fill="FFFFFF"/>
        <w:spacing w:before="120" w:after="0" w:line="240" w:lineRule="auto"/>
        <w:ind w:firstLine="851"/>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Chương V</w:t>
      </w:r>
    </w:p>
    <w:p w:rsidR="006C4F9F" w:rsidRPr="00382E24" w:rsidRDefault="006C4F9F" w:rsidP="006C4F9F">
      <w:pPr>
        <w:shd w:val="clear" w:color="auto" w:fill="FFFFFF"/>
        <w:spacing w:before="120" w:after="0" w:line="240" w:lineRule="auto"/>
        <w:ind w:firstLine="851"/>
        <w:jc w:val="center"/>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TỔ CHỨC THỰC HIỆN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18. Hiệu lực thi hành</w:t>
      </w:r>
      <w:r w:rsidR="00CA0E31">
        <w:rPr>
          <w:rFonts w:ascii="Times New Roman" w:eastAsia="Times New Roman" w:hAnsi="Times New Roman" w:cs="Times New Roman"/>
          <w:b/>
          <w:bCs/>
          <w:color w:val="000000" w:themeColor="text1"/>
          <w:sz w:val="28"/>
          <w:szCs w:val="28"/>
        </w:rPr>
        <w:t xml:space="preserve"> và xử lý chuyển tiếp</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 xml:space="preserve">1. Quyết định này có hiệu lực thi hành kể từ ngày </w:t>
      </w:r>
      <w:r w:rsidR="00CA0E31">
        <w:rPr>
          <w:rFonts w:ascii="Times New Roman" w:eastAsia="Times New Roman" w:hAnsi="Times New Roman" w:cs="Times New Roman"/>
          <w:color w:val="000000" w:themeColor="text1"/>
          <w:sz w:val="28"/>
          <w:szCs w:val="28"/>
        </w:rPr>
        <w:t xml:space="preserve">  </w:t>
      </w:r>
      <w:r w:rsidRPr="00382E24">
        <w:rPr>
          <w:rFonts w:ascii="Times New Roman" w:eastAsia="Times New Roman" w:hAnsi="Times New Roman" w:cs="Times New Roman"/>
          <w:color w:val="000000" w:themeColor="text1"/>
          <w:sz w:val="28"/>
          <w:szCs w:val="28"/>
        </w:rPr>
        <w:t>tháng năm 2026.</w:t>
      </w:r>
    </w:p>
    <w:p w:rsidR="006C4F9F"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Quyết định số 29/2023/QĐ-UBND ngày</w:t>
      </w:r>
      <w:r w:rsidR="000C3990">
        <w:rPr>
          <w:rFonts w:ascii="Times New Roman" w:eastAsia="Times New Roman" w:hAnsi="Times New Roman" w:cs="Times New Roman"/>
          <w:color w:val="000000" w:themeColor="text1"/>
          <w:sz w:val="28"/>
          <w:szCs w:val="28"/>
        </w:rPr>
        <w:t xml:space="preserve"> 11</w:t>
      </w:r>
      <w:r w:rsidRPr="00382E24">
        <w:rPr>
          <w:rFonts w:ascii="Times New Roman" w:eastAsia="Times New Roman" w:hAnsi="Times New Roman" w:cs="Times New Roman"/>
          <w:color w:val="000000" w:themeColor="text1"/>
          <w:sz w:val="28"/>
          <w:szCs w:val="28"/>
        </w:rPr>
        <w:t xml:space="preserve"> tháng</w:t>
      </w:r>
      <w:r w:rsidR="000C3990">
        <w:rPr>
          <w:rFonts w:ascii="Times New Roman" w:eastAsia="Times New Roman" w:hAnsi="Times New Roman" w:cs="Times New Roman"/>
          <w:color w:val="000000" w:themeColor="text1"/>
          <w:sz w:val="28"/>
          <w:szCs w:val="28"/>
        </w:rPr>
        <w:t xml:space="preserve"> 7</w:t>
      </w:r>
      <w:r w:rsidRPr="00382E24">
        <w:rPr>
          <w:rFonts w:ascii="Times New Roman" w:eastAsia="Times New Roman" w:hAnsi="Times New Roman" w:cs="Times New Roman"/>
          <w:color w:val="000000" w:themeColor="text1"/>
          <w:sz w:val="28"/>
          <w:szCs w:val="28"/>
        </w:rPr>
        <w:t xml:space="preserve"> năm 2023 của Ủy ban nhân dân tỉnh Thừa Thiên Huế ban hành Quy định về quản lý, thanh toán, quyết toán vốn đầu tư nguồn ngân sách nhà nước giao cho cộng đồng dân cư tự thực hiện thuộc các chương trình mục tiêu quốc gia trên địa bàn tỉnh Thừa Thiên Huế hết hiệu lực thi hành trên địa bàn thành phố Huế</w:t>
      </w:r>
      <w:r w:rsidR="00CA0E31">
        <w:rPr>
          <w:rFonts w:ascii="Times New Roman" w:eastAsia="Times New Roman" w:hAnsi="Times New Roman" w:cs="Times New Roman"/>
          <w:color w:val="000000" w:themeColor="text1"/>
          <w:sz w:val="28"/>
          <w:szCs w:val="28"/>
        </w:rPr>
        <w:t xml:space="preserve"> kể từ ngày</w:t>
      </w:r>
      <w:r w:rsidRPr="00382E24">
        <w:rPr>
          <w:rFonts w:ascii="Times New Roman" w:eastAsia="Times New Roman" w:hAnsi="Times New Roman" w:cs="Times New Roman"/>
          <w:color w:val="000000" w:themeColor="text1"/>
          <w:sz w:val="28"/>
          <w:szCs w:val="28"/>
        </w:rPr>
        <w:t xml:space="preserve"> Quyết định này</w:t>
      </w:r>
      <w:r w:rsidR="00CA0E31">
        <w:rPr>
          <w:rFonts w:ascii="Times New Roman" w:eastAsia="Times New Roman" w:hAnsi="Times New Roman" w:cs="Times New Roman"/>
          <w:color w:val="000000" w:themeColor="text1"/>
          <w:sz w:val="28"/>
          <w:szCs w:val="28"/>
        </w:rPr>
        <w:t xml:space="preserve"> có hiệu lực thi hành</w:t>
      </w:r>
      <w:r w:rsidRPr="00382E24">
        <w:rPr>
          <w:rFonts w:ascii="Times New Roman" w:eastAsia="Times New Roman" w:hAnsi="Times New Roman" w:cs="Times New Roman"/>
          <w:color w:val="000000" w:themeColor="text1"/>
          <w:sz w:val="28"/>
          <w:szCs w:val="28"/>
        </w:rPr>
        <w:t>.</w:t>
      </w:r>
    </w:p>
    <w:p w:rsidR="006C73DF" w:rsidRPr="00382E24" w:rsidRDefault="00CA0E31" w:rsidP="006C73D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006C73DF" w:rsidRPr="006C73DF">
        <w:rPr>
          <w:rFonts w:ascii="Times New Roman" w:eastAsia="Times New Roman" w:hAnsi="Times New Roman" w:cs="Times New Roman"/>
          <w:color w:val="000000" w:themeColor="text1"/>
          <w:sz w:val="28"/>
          <w:szCs w:val="28"/>
        </w:rPr>
        <w:t xml:space="preserve">Đối với các nhiệm vụ không còn nhiệm vụ chi hoặc còn nhiệm vụ chi nhưng không thực hiện được, được cấp thẩm quyền cho chuyển sang thực hiện các nội dung, nhiệm vụ thuộc Chương trình giai đoạn 2026 - 2030 theo quy định tại điểm b khoản 7 Điều 1 Nghị quyết số 257/2025/QH15 ngày 11 tháng 12 năm 2025 của Quốc hội thì áp dụng theo quy định tại </w:t>
      </w:r>
      <w:r w:rsidR="008560E0">
        <w:rPr>
          <w:rFonts w:ascii="Times New Roman" w:eastAsia="Times New Roman" w:hAnsi="Times New Roman" w:cs="Times New Roman"/>
          <w:color w:val="000000" w:themeColor="text1"/>
          <w:sz w:val="28"/>
          <w:szCs w:val="28"/>
        </w:rPr>
        <w:t>Quyết định</w:t>
      </w:r>
      <w:r w:rsidR="006C73DF" w:rsidRPr="006C73DF">
        <w:rPr>
          <w:rFonts w:ascii="Times New Roman" w:eastAsia="Times New Roman" w:hAnsi="Times New Roman" w:cs="Times New Roman"/>
          <w:color w:val="000000" w:themeColor="text1"/>
          <w:sz w:val="28"/>
          <w:szCs w:val="28"/>
        </w:rPr>
        <w:t xml:space="preserve"> này.</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b/>
          <w:bCs/>
          <w:color w:val="000000" w:themeColor="text1"/>
          <w:sz w:val="28"/>
          <w:szCs w:val="28"/>
        </w:rPr>
        <w:t>Điều 19. Tổ chức thực hiện</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1. Chánh Văn phòng Ủy ban nhân dân thành phố; Giám đốc Sở Tài chính; Giám đốc Kho bạc Nhà nước khu vực; Giám đốc các sở, Thủ trưởng các ban, ngành thuộc thành phố; Chủ tịch Ủy ban nhân dân các xã, phường; Ban phát triển thôn, cộng đồng dân cư và các cơ quan, tổ chức, cá nhân có liên quan chịu trách nhiệm thi hành Quyết định này.</w:t>
      </w:r>
    </w:p>
    <w:p w:rsidR="006C4F9F" w:rsidRPr="00382E24" w:rsidRDefault="006C4F9F" w:rsidP="006C4F9F">
      <w:pPr>
        <w:shd w:val="clear" w:color="auto" w:fill="FFFFFF"/>
        <w:spacing w:before="120" w:after="0" w:line="240" w:lineRule="auto"/>
        <w:ind w:firstLine="851"/>
        <w:jc w:val="both"/>
        <w:rPr>
          <w:rFonts w:ascii="Times New Roman" w:eastAsia="Times New Roman" w:hAnsi="Times New Roman" w:cs="Times New Roman"/>
          <w:color w:val="000000" w:themeColor="text1"/>
          <w:sz w:val="28"/>
          <w:szCs w:val="28"/>
        </w:rPr>
      </w:pPr>
      <w:r w:rsidRPr="00382E24">
        <w:rPr>
          <w:rFonts w:ascii="Times New Roman" w:eastAsia="Times New Roman" w:hAnsi="Times New Roman" w:cs="Times New Roman"/>
          <w:color w:val="000000" w:themeColor="text1"/>
          <w:sz w:val="28"/>
          <w:szCs w:val="28"/>
        </w:rPr>
        <w:t>2. Trong quá trình thực hiện, nếu phát sinh khó khăn, vướng mắc, các cơ quan, đơn vị, địa phương phản ánh về Sở Tài chính để tổng hợp, báo cáo Ủy ban nhân dân thành phố xem xét, quyết định hoặc kiến nghị cơ quan có thẩm quyền hướng dẫn theo quy định.</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6"/>
          <w:szCs w:val="26"/>
        </w:rPr>
      </w:pP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6"/>
          <w:szCs w:val="26"/>
        </w:rPr>
      </w:pPr>
      <w:r w:rsidRPr="00382E24">
        <w:rPr>
          <w:rFonts w:ascii="Times New Roman" w:eastAsia="Times New Roman" w:hAnsi="Times New Roman" w:cs="Times New Roman"/>
          <w:b/>
          <w:color w:val="000000" w:themeColor="text1"/>
          <w:sz w:val="24"/>
          <w:szCs w:val="24"/>
        </w:rPr>
        <w:t xml:space="preserve">Nơi nhận:                                                                               </w:t>
      </w:r>
      <w:r w:rsidRPr="00382E24">
        <w:rPr>
          <w:rFonts w:ascii="Times New Roman" w:eastAsia="Times New Roman" w:hAnsi="Times New Roman" w:cs="Times New Roman"/>
          <w:b/>
          <w:bCs/>
          <w:color w:val="000000" w:themeColor="text1"/>
          <w:sz w:val="26"/>
          <w:szCs w:val="26"/>
        </w:rPr>
        <w:t>TM. ỦY BAN NHÂN DÂN</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6"/>
          <w:szCs w:val="26"/>
        </w:rPr>
      </w:pPr>
      <w:r w:rsidRPr="00382E24">
        <w:rPr>
          <w:rFonts w:ascii="Times New Roman" w:eastAsia="Times New Roman" w:hAnsi="Times New Roman" w:cs="Times New Roman"/>
          <w:color w:val="000000" w:themeColor="text1"/>
          <w:sz w:val="24"/>
          <w:szCs w:val="24"/>
        </w:rPr>
        <w:t xml:space="preserve">- Như Điều </w:t>
      </w:r>
      <w:proofErr w:type="gramStart"/>
      <w:r w:rsidRPr="00382E24">
        <w:rPr>
          <w:rFonts w:ascii="Times New Roman" w:eastAsia="Times New Roman" w:hAnsi="Times New Roman" w:cs="Times New Roman"/>
          <w:color w:val="000000" w:themeColor="text1"/>
          <w:sz w:val="24"/>
          <w:szCs w:val="24"/>
        </w:rPr>
        <w:t>19;</w:t>
      </w:r>
      <w:r w:rsidRPr="00382E24">
        <w:rPr>
          <w:rFonts w:ascii="Times New Roman" w:eastAsia="Times New Roman" w:hAnsi="Times New Roman" w:cs="Times New Roman"/>
          <w:b/>
          <w:bCs/>
          <w:color w:val="000000" w:themeColor="text1"/>
          <w:sz w:val="26"/>
          <w:szCs w:val="26"/>
        </w:rPr>
        <w:t xml:space="preserve">   </w:t>
      </w:r>
      <w:proofErr w:type="gramEnd"/>
      <w:r w:rsidRPr="00382E24">
        <w:rPr>
          <w:rFonts w:ascii="Times New Roman" w:eastAsia="Times New Roman" w:hAnsi="Times New Roman" w:cs="Times New Roman"/>
          <w:b/>
          <w:bCs/>
          <w:color w:val="000000" w:themeColor="text1"/>
          <w:sz w:val="26"/>
          <w:szCs w:val="26"/>
        </w:rPr>
        <w:t xml:space="preserve">                                                                               CHỦ TỊCH</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Bộ Tài chính, Bộ Tư pháp (để theo dõi);</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TT Thành ủy;</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Thường trực HĐND thành phố;</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Đoàn đại biểu Quốc hội thành phố;</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Ủy ban MTTQ Việt Nam thành phố;</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Chủ tịch và các Phó Chủ tịch UBND thành phố;</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Cổng Thông tin điện tử thành phố;</w:t>
      </w:r>
    </w:p>
    <w:p w:rsidR="006C4F9F" w:rsidRPr="00382E24" w:rsidRDefault="006C4F9F" w:rsidP="006C4F9F">
      <w:pPr>
        <w:shd w:val="clear" w:color="auto" w:fill="FFFFFF"/>
        <w:spacing w:after="0" w:line="240" w:lineRule="auto"/>
        <w:rPr>
          <w:rFonts w:ascii="Times New Roman" w:eastAsia="Times New Roman" w:hAnsi="Times New Roman" w:cs="Times New Roman"/>
          <w:color w:val="000000" w:themeColor="text1"/>
          <w:sz w:val="24"/>
          <w:szCs w:val="24"/>
        </w:rPr>
      </w:pPr>
      <w:r w:rsidRPr="00382E24">
        <w:rPr>
          <w:rFonts w:ascii="Times New Roman" w:eastAsia="Times New Roman" w:hAnsi="Times New Roman" w:cs="Times New Roman"/>
          <w:color w:val="000000" w:themeColor="text1"/>
          <w:sz w:val="24"/>
          <w:szCs w:val="24"/>
        </w:rPr>
        <w:t>- Lưu: VT, XDCB.</w:t>
      </w:r>
    </w:p>
    <w:p w:rsidR="00AE560A" w:rsidRPr="00382E24" w:rsidRDefault="00AE560A" w:rsidP="007D79B7">
      <w:pPr>
        <w:rPr>
          <w:color w:val="000000" w:themeColor="text1"/>
        </w:rPr>
      </w:pPr>
    </w:p>
    <w:sectPr w:rsidR="00AE560A" w:rsidRPr="00382E24" w:rsidSect="00D05893">
      <w:headerReference w:type="default" r:id="rId8"/>
      <w:pgSz w:w="12240" w:h="15840" w:code="1"/>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B4B" w:rsidRDefault="005D2B4B" w:rsidP="00D05893">
      <w:pPr>
        <w:spacing w:after="0" w:line="240" w:lineRule="auto"/>
      </w:pPr>
      <w:r>
        <w:separator/>
      </w:r>
    </w:p>
  </w:endnote>
  <w:endnote w:type="continuationSeparator" w:id="0">
    <w:p w:rsidR="005D2B4B" w:rsidRDefault="005D2B4B" w:rsidP="00D0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B4B" w:rsidRDefault="005D2B4B" w:rsidP="00D05893">
      <w:pPr>
        <w:spacing w:after="0" w:line="240" w:lineRule="auto"/>
      </w:pPr>
      <w:r>
        <w:separator/>
      </w:r>
    </w:p>
  </w:footnote>
  <w:footnote w:type="continuationSeparator" w:id="0">
    <w:p w:rsidR="005D2B4B" w:rsidRDefault="005D2B4B" w:rsidP="00D05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022878"/>
      <w:docPartObj>
        <w:docPartGallery w:val="Page Numbers (Top of Page)"/>
        <w:docPartUnique/>
      </w:docPartObj>
    </w:sdtPr>
    <w:sdtEndPr>
      <w:rPr>
        <w:noProof/>
      </w:rPr>
    </w:sdtEndPr>
    <w:sdtContent>
      <w:p w:rsidR="00FE646A" w:rsidRDefault="00FE646A">
        <w:pPr>
          <w:pStyle w:val="Header"/>
          <w:jc w:val="center"/>
        </w:pPr>
        <w:r>
          <w:fldChar w:fldCharType="begin"/>
        </w:r>
        <w:r>
          <w:instrText xml:space="preserve"> PAGE   \* MERGEFORMAT </w:instrText>
        </w:r>
        <w:r>
          <w:fldChar w:fldCharType="separate"/>
        </w:r>
        <w:r w:rsidR="00332405">
          <w:rPr>
            <w:noProof/>
          </w:rPr>
          <w:t>21</w:t>
        </w:r>
        <w:r>
          <w:rPr>
            <w:noProof/>
          </w:rPr>
          <w:fldChar w:fldCharType="end"/>
        </w:r>
      </w:p>
    </w:sdtContent>
  </w:sdt>
  <w:p w:rsidR="00FE646A" w:rsidRDefault="00FE646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7748"/>
    <w:multiLevelType w:val="multilevel"/>
    <w:tmpl w:val="5D109450"/>
    <w:lvl w:ilvl="0">
      <w:start w:val="7"/>
      <w:numFmt w:val="lowerLetter"/>
      <w:lvlText w:val="%1)"/>
      <w:lvlJc w:val="left"/>
      <w:pPr>
        <w:ind w:left="1027" w:hanging="317"/>
      </w:pPr>
      <w:rPr>
        <w:rFonts w:ascii="Times New Roman" w:eastAsia="Times New Roman" w:hAnsi="Times New Roman" w:cs="Times New Roman" w:hint="default"/>
        <w:i w:val="0"/>
        <w:iCs w:val="0"/>
        <w:sz w:val="28"/>
        <w:szCs w:val="28"/>
      </w:rPr>
    </w:lvl>
    <w:lvl w:ilvl="1">
      <w:numFmt w:val="bullet"/>
      <w:lvlText w:val="•"/>
      <w:lvlJc w:val="left"/>
      <w:pPr>
        <w:ind w:left="1322" w:hanging="317"/>
      </w:pPr>
      <w:rPr>
        <w:rFonts w:hint="default"/>
      </w:rPr>
    </w:lvl>
    <w:lvl w:ilvl="2">
      <w:numFmt w:val="bullet"/>
      <w:lvlText w:val="•"/>
      <w:lvlJc w:val="left"/>
      <w:pPr>
        <w:ind w:left="2304" w:hanging="316"/>
      </w:pPr>
      <w:rPr>
        <w:rFonts w:hint="default"/>
      </w:rPr>
    </w:lvl>
    <w:lvl w:ilvl="3">
      <w:numFmt w:val="bullet"/>
      <w:lvlText w:val="•"/>
      <w:lvlJc w:val="left"/>
      <w:pPr>
        <w:ind w:left="3287" w:hanging="317"/>
      </w:pPr>
      <w:rPr>
        <w:rFonts w:hint="default"/>
      </w:rPr>
    </w:lvl>
    <w:lvl w:ilvl="4">
      <w:numFmt w:val="bullet"/>
      <w:lvlText w:val="•"/>
      <w:lvlJc w:val="left"/>
      <w:pPr>
        <w:ind w:left="4269" w:hanging="317"/>
      </w:pPr>
      <w:rPr>
        <w:rFonts w:hint="default"/>
      </w:rPr>
    </w:lvl>
    <w:lvl w:ilvl="5">
      <w:numFmt w:val="bullet"/>
      <w:lvlText w:val="•"/>
      <w:lvlJc w:val="left"/>
      <w:pPr>
        <w:ind w:left="5252" w:hanging="316"/>
      </w:pPr>
      <w:rPr>
        <w:rFonts w:hint="default"/>
      </w:rPr>
    </w:lvl>
    <w:lvl w:ilvl="6">
      <w:numFmt w:val="bullet"/>
      <w:lvlText w:val="•"/>
      <w:lvlJc w:val="left"/>
      <w:pPr>
        <w:ind w:left="6234" w:hanging="317"/>
      </w:pPr>
      <w:rPr>
        <w:rFonts w:hint="default"/>
      </w:rPr>
    </w:lvl>
    <w:lvl w:ilvl="7">
      <w:numFmt w:val="bullet"/>
      <w:lvlText w:val="•"/>
      <w:lvlJc w:val="left"/>
      <w:pPr>
        <w:ind w:left="7216" w:hanging="317"/>
      </w:pPr>
      <w:rPr>
        <w:rFonts w:hint="default"/>
      </w:rPr>
    </w:lvl>
    <w:lvl w:ilvl="8">
      <w:numFmt w:val="bullet"/>
      <w:lvlText w:val="•"/>
      <w:lvlJc w:val="left"/>
      <w:pPr>
        <w:ind w:left="8199" w:hanging="317"/>
      </w:pPr>
      <w:rPr>
        <w:rFonts w:hint="default"/>
      </w:rPr>
    </w:lvl>
  </w:abstractNum>
  <w:abstractNum w:abstractNumId="1" w15:restartNumberingAfterBreak="0">
    <w:nsid w:val="11D4243C"/>
    <w:multiLevelType w:val="multilevel"/>
    <w:tmpl w:val="D5300A22"/>
    <w:lvl w:ilvl="0">
      <w:start w:val="11"/>
      <w:numFmt w:val="lowerLetter"/>
      <w:lvlText w:val="%1)"/>
      <w:lvlJc w:val="left"/>
      <w:pPr>
        <w:ind w:left="1027" w:hanging="317"/>
      </w:pPr>
      <w:rPr>
        <w:rFonts w:ascii="Times New Roman" w:eastAsia="Times New Roman" w:hAnsi="Times New Roman" w:cs="Times New Roman" w:hint="default"/>
        <w:i w:val="0"/>
        <w:iCs w:val="0"/>
        <w:sz w:val="28"/>
        <w:szCs w:val="28"/>
      </w:rPr>
    </w:lvl>
    <w:lvl w:ilvl="1">
      <w:numFmt w:val="bullet"/>
      <w:lvlText w:val="•"/>
      <w:lvlJc w:val="left"/>
      <w:pPr>
        <w:ind w:left="1322" w:hanging="317"/>
      </w:pPr>
      <w:rPr>
        <w:rFonts w:hint="default"/>
      </w:rPr>
    </w:lvl>
    <w:lvl w:ilvl="2">
      <w:numFmt w:val="bullet"/>
      <w:lvlText w:val="•"/>
      <w:lvlJc w:val="left"/>
      <w:pPr>
        <w:ind w:left="2304" w:hanging="316"/>
      </w:pPr>
      <w:rPr>
        <w:rFonts w:hint="default"/>
      </w:rPr>
    </w:lvl>
    <w:lvl w:ilvl="3">
      <w:numFmt w:val="bullet"/>
      <w:lvlText w:val="•"/>
      <w:lvlJc w:val="left"/>
      <w:pPr>
        <w:ind w:left="3287" w:hanging="317"/>
      </w:pPr>
      <w:rPr>
        <w:rFonts w:hint="default"/>
      </w:rPr>
    </w:lvl>
    <w:lvl w:ilvl="4">
      <w:numFmt w:val="bullet"/>
      <w:lvlText w:val="•"/>
      <w:lvlJc w:val="left"/>
      <w:pPr>
        <w:ind w:left="4269" w:hanging="317"/>
      </w:pPr>
      <w:rPr>
        <w:rFonts w:hint="default"/>
      </w:rPr>
    </w:lvl>
    <w:lvl w:ilvl="5">
      <w:numFmt w:val="bullet"/>
      <w:lvlText w:val="•"/>
      <w:lvlJc w:val="left"/>
      <w:pPr>
        <w:ind w:left="5252" w:hanging="316"/>
      </w:pPr>
      <w:rPr>
        <w:rFonts w:hint="default"/>
      </w:rPr>
    </w:lvl>
    <w:lvl w:ilvl="6">
      <w:numFmt w:val="bullet"/>
      <w:lvlText w:val="•"/>
      <w:lvlJc w:val="left"/>
      <w:pPr>
        <w:ind w:left="6234" w:hanging="317"/>
      </w:pPr>
      <w:rPr>
        <w:rFonts w:hint="default"/>
      </w:rPr>
    </w:lvl>
    <w:lvl w:ilvl="7">
      <w:numFmt w:val="bullet"/>
      <w:lvlText w:val="•"/>
      <w:lvlJc w:val="left"/>
      <w:pPr>
        <w:ind w:left="7216" w:hanging="317"/>
      </w:pPr>
      <w:rPr>
        <w:rFonts w:hint="default"/>
      </w:rPr>
    </w:lvl>
    <w:lvl w:ilvl="8">
      <w:numFmt w:val="bullet"/>
      <w:lvlText w:val="•"/>
      <w:lvlJc w:val="left"/>
      <w:pPr>
        <w:ind w:left="8199" w:hanging="317"/>
      </w:pPr>
      <w:rPr>
        <w:rFonts w:hint="default"/>
      </w:rPr>
    </w:lvl>
  </w:abstractNum>
  <w:abstractNum w:abstractNumId="2" w15:restartNumberingAfterBreak="0">
    <w:nsid w:val="31D16C86"/>
    <w:multiLevelType w:val="multilevel"/>
    <w:tmpl w:val="305E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62E9A"/>
    <w:multiLevelType w:val="multilevel"/>
    <w:tmpl w:val="2BEAF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A65E59"/>
    <w:multiLevelType w:val="multilevel"/>
    <w:tmpl w:val="AB707BC0"/>
    <w:lvl w:ilvl="0">
      <w:start w:val="1"/>
      <w:numFmt w:val="lowerLetter"/>
      <w:lvlText w:val="%1)"/>
      <w:lvlJc w:val="left"/>
      <w:pPr>
        <w:ind w:left="1338" w:hanging="287"/>
      </w:pPr>
      <w:rPr>
        <w:rFonts w:ascii="Times New Roman" w:eastAsia="Times New Roman" w:hAnsi="Times New Roman" w:cs="Times New Roman"/>
        <w:sz w:val="28"/>
        <w:szCs w:val="28"/>
      </w:rPr>
    </w:lvl>
    <w:lvl w:ilvl="1">
      <w:numFmt w:val="bullet"/>
      <w:lvlText w:val="•"/>
      <w:lvlJc w:val="left"/>
      <w:pPr>
        <w:ind w:left="2222" w:hanging="288"/>
      </w:pPr>
    </w:lvl>
    <w:lvl w:ilvl="2">
      <w:numFmt w:val="bullet"/>
      <w:lvlText w:val="•"/>
      <w:lvlJc w:val="left"/>
      <w:pPr>
        <w:ind w:left="3104" w:hanging="288"/>
      </w:pPr>
    </w:lvl>
    <w:lvl w:ilvl="3">
      <w:numFmt w:val="bullet"/>
      <w:lvlText w:val="•"/>
      <w:lvlJc w:val="left"/>
      <w:pPr>
        <w:ind w:left="3987" w:hanging="288"/>
      </w:pPr>
    </w:lvl>
    <w:lvl w:ilvl="4">
      <w:numFmt w:val="bullet"/>
      <w:lvlText w:val="•"/>
      <w:lvlJc w:val="left"/>
      <w:pPr>
        <w:ind w:left="4869" w:hanging="288"/>
      </w:pPr>
    </w:lvl>
    <w:lvl w:ilvl="5">
      <w:numFmt w:val="bullet"/>
      <w:lvlText w:val="•"/>
      <w:lvlJc w:val="left"/>
      <w:pPr>
        <w:ind w:left="5752" w:hanging="287"/>
      </w:pPr>
    </w:lvl>
    <w:lvl w:ilvl="6">
      <w:numFmt w:val="bullet"/>
      <w:lvlText w:val="•"/>
      <w:lvlJc w:val="left"/>
      <w:pPr>
        <w:ind w:left="6634" w:hanging="288"/>
      </w:pPr>
    </w:lvl>
    <w:lvl w:ilvl="7">
      <w:numFmt w:val="bullet"/>
      <w:lvlText w:val="•"/>
      <w:lvlJc w:val="left"/>
      <w:pPr>
        <w:ind w:left="7516" w:hanging="287"/>
      </w:pPr>
    </w:lvl>
    <w:lvl w:ilvl="8">
      <w:numFmt w:val="bullet"/>
      <w:lvlText w:val="•"/>
      <w:lvlJc w:val="left"/>
      <w:pPr>
        <w:ind w:left="8399" w:hanging="288"/>
      </w:pPr>
    </w:lvl>
  </w:abstractNum>
  <w:abstractNum w:abstractNumId="5" w15:restartNumberingAfterBreak="0">
    <w:nsid w:val="49C129F5"/>
    <w:multiLevelType w:val="multilevel"/>
    <w:tmpl w:val="94480FC8"/>
    <w:lvl w:ilvl="0">
      <w:start w:val="1"/>
      <w:numFmt w:val="lowerLetter"/>
      <w:lvlText w:val="%1)"/>
      <w:lvlJc w:val="left"/>
      <w:pPr>
        <w:ind w:left="339" w:hanging="336"/>
      </w:pPr>
      <w:rPr>
        <w:rFonts w:ascii="Times New Roman" w:eastAsia="Times New Roman" w:hAnsi="Times New Roman" w:cs="Times New Roman"/>
        <w:i w:val="0"/>
        <w:iCs/>
        <w:sz w:val="28"/>
        <w:szCs w:val="28"/>
      </w:rPr>
    </w:lvl>
    <w:lvl w:ilvl="1">
      <w:numFmt w:val="bullet"/>
      <w:lvlText w:val="•"/>
      <w:lvlJc w:val="left"/>
      <w:pPr>
        <w:ind w:left="1322" w:hanging="336"/>
      </w:pPr>
    </w:lvl>
    <w:lvl w:ilvl="2">
      <w:numFmt w:val="bullet"/>
      <w:lvlText w:val="•"/>
      <w:lvlJc w:val="left"/>
      <w:pPr>
        <w:ind w:left="2304" w:hanging="336"/>
      </w:pPr>
    </w:lvl>
    <w:lvl w:ilvl="3">
      <w:numFmt w:val="bullet"/>
      <w:lvlText w:val="•"/>
      <w:lvlJc w:val="left"/>
      <w:pPr>
        <w:ind w:left="3287" w:hanging="336"/>
      </w:pPr>
    </w:lvl>
    <w:lvl w:ilvl="4">
      <w:numFmt w:val="bullet"/>
      <w:lvlText w:val="•"/>
      <w:lvlJc w:val="left"/>
      <w:pPr>
        <w:ind w:left="4269" w:hanging="336"/>
      </w:pPr>
    </w:lvl>
    <w:lvl w:ilvl="5">
      <w:numFmt w:val="bullet"/>
      <w:lvlText w:val="•"/>
      <w:lvlJc w:val="left"/>
      <w:pPr>
        <w:ind w:left="5252" w:hanging="336"/>
      </w:pPr>
    </w:lvl>
    <w:lvl w:ilvl="6">
      <w:numFmt w:val="bullet"/>
      <w:lvlText w:val="•"/>
      <w:lvlJc w:val="left"/>
      <w:pPr>
        <w:ind w:left="6234" w:hanging="336"/>
      </w:pPr>
    </w:lvl>
    <w:lvl w:ilvl="7">
      <w:numFmt w:val="bullet"/>
      <w:lvlText w:val="•"/>
      <w:lvlJc w:val="left"/>
      <w:pPr>
        <w:ind w:left="7216" w:hanging="336"/>
      </w:pPr>
    </w:lvl>
    <w:lvl w:ilvl="8">
      <w:numFmt w:val="bullet"/>
      <w:lvlText w:val="•"/>
      <w:lvlJc w:val="left"/>
      <w:pPr>
        <w:ind w:left="8199" w:hanging="336"/>
      </w:pPr>
    </w:lvl>
  </w:abstractNum>
  <w:abstractNum w:abstractNumId="6" w15:restartNumberingAfterBreak="0">
    <w:nsid w:val="59485BC6"/>
    <w:multiLevelType w:val="multilevel"/>
    <w:tmpl w:val="FC120142"/>
    <w:lvl w:ilvl="0">
      <w:start w:val="1"/>
      <w:numFmt w:val="decimal"/>
      <w:lvlText w:val="%1."/>
      <w:lvlJc w:val="left"/>
      <w:pPr>
        <w:ind w:left="339" w:hanging="298"/>
      </w:pPr>
      <w:rPr>
        <w:rFonts w:ascii="Times New Roman" w:eastAsia="Times New Roman" w:hAnsi="Times New Roman" w:cs="Times New Roman"/>
        <w:sz w:val="28"/>
        <w:szCs w:val="28"/>
      </w:rPr>
    </w:lvl>
    <w:lvl w:ilvl="1">
      <w:numFmt w:val="bullet"/>
      <w:lvlText w:val="•"/>
      <w:lvlJc w:val="left"/>
      <w:pPr>
        <w:ind w:left="1322" w:hanging="298"/>
      </w:pPr>
    </w:lvl>
    <w:lvl w:ilvl="2">
      <w:numFmt w:val="bullet"/>
      <w:lvlText w:val="•"/>
      <w:lvlJc w:val="left"/>
      <w:pPr>
        <w:ind w:left="2304" w:hanging="298"/>
      </w:pPr>
    </w:lvl>
    <w:lvl w:ilvl="3">
      <w:numFmt w:val="bullet"/>
      <w:lvlText w:val="•"/>
      <w:lvlJc w:val="left"/>
      <w:pPr>
        <w:ind w:left="3287" w:hanging="298"/>
      </w:pPr>
    </w:lvl>
    <w:lvl w:ilvl="4">
      <w:numFmt w:val="bullet"/>
      <w:lvlText w:val="•"/>
      <w:lvlJc w:val="left"/>
      <w:pPr>
        <w:ind w:left="4269" w:hanging="298"/>
      </w:pPr>
    </w:lvl>
    <w:lvl w:ilvl="5">
      <w:numFmt w:val="bullet"/>
      <w:lvlText w:val="•"/>
      <w:lvlJc w:val="left"/>
      <w:pPr>
        <w:ind w:left="5252" w:hanging="298"/>
      </w:pPr>
    </w:lvl>
    <w:lvl w:ilvl="6">
      <w:numFmt w:val="bullet"/>
      <w:lvlText w:val="•"/>
      <w:lvlJc w:val="left"/>
      <w:pPr>
        <w:ind w:left="6234" w:hanging="298"/>
      </w:pPr>
    </w:lvl>
    <w:lvl w:ilvl="7">
      <w:numFmt w:val="bullet"/>
      <w:lvlText w:val="•"/>
      <w:lvlJc w:val="left"/>
      <w:pPr>
        <w:ind w:left="7216" w:hanging="297"/>
      </w:pPr>
    </w:lvl>
    <w:lvl w:ilvl="8">
      <w:numFmt w:val="bullet"/>
      <w:lvlText w:val="•"/>
      <w:lvlJc w:val="left"/>
      <w:pPr>
        <w:ind w:left="8199" w:hanging="298"/>
      </w:pPr>
    </w:lvl>
  </w:abstractNum>
  <w:abstractNum w:abstractNumId="7" w15:restartNumberingAfterBreak="0">
    <w:nsid w:val="59793DBA"/>
    <w:multiLevelType w:val="multilevel"/>
    <w:tmpl w:val="A244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93140D"/>
    <w:multiLevelType w:val="multilevel"/>
    <w:tmpl w:val="EC52CB4A"/>
    <w:lvl w:ilvl="0">
      <w:start w:val="1"/>
      <w:numFmt w:val="lowerLetter"/>
      <w:lvlText w:val="%1)"/>
      <w:lvlJc w:val="left"/>
      <w:pPr>
        <w:ind w:left="1027" w:hanging="317"/>
      </w:pPr>
      <w:rPr>
        <w:rFonts w:ascii="Times New Roman" w:eastAsia="Times New Roman" w:hAnsi="Times New Roman" w:cs="Times New Roman"/>
        <w:i w:val="0"/>
        <w:iCs w:val="0"/>
        <w:sz w:val="28"/>
        <w:szCs w:val="28"/>
      </w:rPr>
    </w:lvl>
    <w:lvl w:ilvl="1">
      <w:numFmt w:val="bullet"/>
      <w:lvlText w:val="•"/>
      <w:lvlJc w:val="left"/>
      <w:pPr>
        <w:ind w:left="1322" w:hanging="317"/>
      </w:pPr>
    </w:lvl>
    <w:lvl w:ilvl="2">
      <w:numFmt w:val="bullet"/>
      <w:lvlText w:val="•"/>
      <w:lvlJc w:val="left"/>
      <w:pPr>
        <w:ind w:left="2304" w:hanging="316"/>
      </w:pPr>
    </w:lvl>
    <w:lvl w:ilvl="3">
      <w:numFmt w:val="bullet"/>
      <w:lvlText w:val="•"/>
      <w:lvlJc w:val="left"/>
      <w:pPr>
        <w:ind w:left="3287" w:hanging="317"/>
      </w:pPr>
    </w:lvl>
    <w:lvl w:ilvl="4">
      <w:numFmt w:val="bullet"/>
      <w:lvlText w:val="•"/>
      <w:lvlJc w:val="left"/>
      <w:pPr>
        <w:ind w:left="4269" w:hanging="317"/>
      </w:pPr>
    </w:lvl>
    <w:lvl w:ilvl="5">
      <w:numFmt w:val="bullet"/>
      <w:lvlText w:val="•"/>
      <w:lvlJc w:val="left"/>
      <w:pPr>
        <w:ind w:left="5252" w:hanging="316"/>
      </w:pPr>
    </w:lvl>
    <w:lvl w:ilvl="6">
      <w:numFmt w:val="bullet"/>
      <w:lvlText w:val="•"/>
      <w:lvlJc w:val="left"/>
      <w:pPr>
        <w:ind w:left="6234" w:hanging="317"/>
      </w:pPr>
    </w:lvl>
    <w:lvl w:ilvl="7">
      <w:numFmt w:val="bullet"/>
      <w:lvlText w:val="•"/>
      <w:lvlJc w:val="left"/>
      <w:pPr>
        <w:ind w:left="7216" w:hanging="317"/>
      </w:pPr>
    </w:lvl>
    <w:lvl w:ilvl="8">
      <w:numFmt w:val="bullet"/>
      <w:lvlText w:val="•"/>
      <w:lvlJc w:val="left"/>
      <w:pPr>
        <w:ind w:left="8199" w:hanging="317"/>
      </w:pPr>
    </w:lvl>
  </w:abstractNum>
  <w:abstractNum w:abstractNumId="9" w15:restartNumberingAfterBreak="0">
    <w:nsid w:val="666157EB"/>
    <w:multiLevelType w:val="multilevel"/>
    <w:tmpl w:val="FE803E42"/>
    <w:lvl w:ilvl="0">
      <w:start w:val="1"/>
      <w:numFmt w:val="lowerLetter"/>
      <w:lvlText w:val="%1)"/>
      <w:lvlJc w:val="left"/>
      <w:pPr>
        <w:ind w:left="339" w:hanging="336"/>
      </w:pPr>
      <w:rPr>
        <w:rFonts w:ascii="Times New Roman" w:eastAsia="Times New Roman" w:hAnsi="Times New Roman" w:cs="Times New Roman"/>
        <w:i w:val="0"/>
        <w:iCs/>
        <w:sz w:val="28"/>
        <w:szCs w:val="28"/>
      </w:rPr>
    </w:lvl>
    <w:lvl w:ilvl="1">
      <w:numFmt w:val="bullet"/>
      <w:lvlText w:val="•"/>
      <w:lvlJc w:val="left"/>
      <w:pPr>
        <w:ind w:left="1322" w:hanging="336"/>
      </w:pPr>
    </w:lvl>
    <w:lvl w:ilvl="2">
      <w:numFmt w:val="bullet"/>
      <w:lvlText w:val="•"/>
      <w:lvlJc w:val="left"/>
      <w:pPr>
        <w:ind w:left="2304" w:hanging="336"/>
      </w:pPr>
    </w:lvl>
    <w:lvl w:ilvl="3">
      <w:numFmt w:val="bullet"/>
      <w:lvlText w:val="•"/>
      <w:lvlJc w:val="left"/>
      <w:pPr>
        <w:ind w:left="3287" w:hanging="336"/>
      </w:pPr>
    </w:lvl>
    <w:lvl w:ilvl="4">
      <w:numFmt w:val="bullet"/>
      <w:lvlText w:val="•"/>
      <w:lvlJc w:val="left"/>
      <w:pPr>
        <w:ind w:left="4269" w:hanging="336"/>
      </w:pPr>
    </w:lvl>
    <w:lvl w:ilvl="5">
      <w:numFmt w:val="bullet"/>
      <w:lvlText w:val="•"/>
      <w:lvlJc w:val="left"/>
      <w:pPr>
        <w:ind w:left="5252" w:hanging="336"/>
      </w:pPr>
    </w:lvl>
    <w:lvl w:ilvl="6">
      <w:numFmt w:val="bullet"/>
      <w:lvlText w:val="•"/>
      <w:lvlJc w:val="left"/>
      <w:pPr>
        <w:ind w:left="6234" w:hanging="336"/>
      </w:pPr>
    </w:lvl>
    <w:lvl w:ilvl="7">
      <w:numFmt w:val="bullet"/>
      <w:lvlText w:val="•"/>
      <w:lvlJc w:val="left"/>
      <w:pPr>
        <w:ind w:left="7216" w:hanging="336"/>
      </w:pPr>
    </w:lvl>
    <w:lvl w:ilvl="8">
      <w:numFmt w:val="bullet"/>
      <w:lvlText w:val="•"/>
      <w:lvlJc w:val="left"/>
      <w:pPr>
        <w:ind w:left="8199" w:hanging="336"/>
      </w:pPr>
    </w:lvl>
  </w:abstractNum>
  <w:abstractNum w:abstractNumId="10" w15:restartNumberingAfterBreak="0">
    <w:nsid w:val="73805702"/>
    <w:multiLevelType w:val="multilevel"/>
    <w:tmpl w:val="86585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A35D86"/>
    <w:multiLevelType w:val="multilevel"/>
    <w:tmpl w:val="4AECC93C"/>
    <w:lvl w:ilvl="0">
      <w:start w:val="1"/>
      <w:numFmt w:val="decimal"/>
      <w:lvlText w:val="%1."/>
      <w:lvlJc w:val="left"/>
      <w:pPr>
        <w:ind w:left="1333" w:hanging="284"/>
      </w:pPr>
      <w:rPr>
        <w:rFonts w:ascii="Times New Roman" w:eastAsia="Times New Roman" w:hAnsi="Times New Roman" w:cs="Times New Roman"/>
        <w:sz w:val="28"/>
        <w:szCs w:val="28"/>
      </w:rPr>
    </w:lvl>
    <w:lvl w:ilvl="1">
      <w:numFmt w:val="bullet"/>
      <w:lvlText w:val="•"/>
      <w:lvlJc w:val="left"/>
      <w:pPr>
        <w:ind w:left="2222" w:hanging="284"/>
      </w:pPr>
    </w:lvl>
    <w:lvl w:ilvl="2">
      <w:numFmt w:val="bullet"/>
      <w:lvlText w:val="•"/>
      <w:lvlJc w:val="left"/>
      <w:pPr>
        <w:ind w:left="3104" w:hanging="284"/>
      </w:pPr>
    </w:lvl>
    <w:lvl w:ilvl="3">
      <w:numFmt w:val="bullet"/>
      <w:lvlText w:val="•"/>
      <w:lvlJc w:val="left"/>
      <w:pPr>
        <w:ind w:left="3987" w:hanging="284"/>
      </w:pPr>
    </w:lvl>
    <w:lvl w:ilvl="4">
      <w:numFmt w:val="bullet"/>
      <w:lvlText w:val="•"/>
      <w:lvlJc w:val="left"/>
      <w:pPr>
        <w:ind w:left="4869" w:hanging="284"/>
      </w:pPr>
    </w:lvl>
    <w:lvl w:ilvl="5">
      <w:numFmt w:val="bullet"/>
      <w:lvlText w:val="•"/>
      <w:lvlJc w:val="left"/>
      <w:pPr>
        <w:ind w:left="5752" w:hanging="283"/>
      </w:pPr>
    </w:lvl>
    <w:lvl w:ilvl="6">
      <w:numFmt w:val="bullet"/>
      <w:lvlText w:val="•"/>
      <w:lvlJc w:val="left"/>
      <w:pPr>
        <w:ind w:left="6634" w:hanging="284"/>
      </w:pPr>
    </w:lvl>
    <w:lvl w:ilvl="7">
      <w:numFmt w:val="bullet"/>
      <w:lvlText w:val="•"/>
      <w:lvlJc w:val="left"/>
      <w:pPr>
        <w:ind w:left="7516" w:hanging="284"/>
      </w:pPr>
    </w:lvl>
    <w:lvl w:ilvl="8">
      <w:numFmt w:val="bullet"/>
      <w:lvlText w:val="•"/>
      <w:lvlJc w:val="left"/>
      <w:pPr>
        <w:ind w:left="8399" w:hanging="284"/>
      </w:pPr>
    </w:lvl>
  </w:abstractNum>
  <w:num w:numId="1">
    <w:abstractNumId w:val="10"/>
  </w:num>
  <w:num w:numId="2">
    <w:abstractNumId w:val="3"/>
  </w:num>
  <w:num w:numId="3">
    <w:abstractNumId w:val="7"/>
  </w:num>
  <w:num w:numId="4">
    <w:abstractNumId w:val="8"/>
  </w:num>
  <w:num w:numId="5">
    <w:abstractNumId w:val="4"/>
  </w:num>
  <w:num w:numId="6">
    <w:abstractNumId w:val="6"/>
  </w:num>
  <w:num w:numId="7">
    <w:abstractNumId w:val="11"/>
  </w:num>
  <w:num w:numId="8">
    <w:abstractNumId w:val="9"/>
  </w:num>
  <w:num w:numId="9">
    <w:abstractNumId w:val="5"/>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9B7"/>
    <w:rsid w:val="000808F9"/>
    <w:rsid w:val="000C3990"/>
    <w:rsid w:val="001A2499"/>
    <w:rsid w:val="001D4D93"/>
    <w:rsid w:val="002838A7"/>
    <w:rsid w:val="00332405"/>
    <w:rsid w:val="00382E24"/>
    <w:rsid w:val="004054DF"/>
    <w:rsid w:val="00406C08"/>
    <w:rsid w:val="00524FBD"/>
    <w:rsid w:val="005D2B4B"/>
    <w:rsid w:val="005E0009"/>
    <w:rsid w:val="00626E1C"/>
    <w:rsid w:val="0068500E"/>
    <w:rsid w:val="006C4F9F"/>
    <w:rsid w:val="006C73DF"/>
    <w:rsid w:val="007C3676"/>
    <w:rsid w:val="007D79B7"/>
    <w:rsid w:val="00850E95"/>
    <w:rsid w:val="008560E0"/>
    <w:rsid w:val="009862FD"/>
    <w:rsid w:val="00A467EB"/>
    <w:rsid w:val="00AB2266"/>
    <w:rsid w:val="00AE560A"/>
    <w:rsid w:val="00C16820"/>
    <w:rsid w:val="00C40D36"/>
    <w:rsid w:val="00CA0E31"/>
    <w:rsid w:val="00D05893"/>
    <w:rsid w:val="00E64EC3"/>
    <w:rsid w:val="00FB2328"/>
    <w:rsid w:val="00FE6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0B73"/>
  <w15:chartTrackingRefBased/>
  <w15:docId w15:val="{1F9F1563-C47B-42E3-B782-81AEAE36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7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58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893"/>
  </w:style>
  <w:style w:type="paragraph" w:styleId="Footer">
    <w:name w:val="footer"/>
    <w:basedOn w:val="Normal"/>
    <w:link w:val="FooterChar"/>
    <w:uiPriority w:val="99"/>
    <w:unhideWhenUsed/>
    <w:rsid w:val="00D058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76827">
      <w:bodyDiv w:val="1"/>
      <w:marLeft w:val="0"/>
      <w:marRight w:val="0"/>
      <w:marTop w:val="0"/>
      <w:marBottom w:val="0"/>
      <w:divBdr>
        <w:top w:val="none" w:sz="0" w:space="0" w:color="auto"/>
        <w:left w:val="none" w:sz="0" w:space="0" w:color="auto"/>
        <w:bottom w:val="none" w:sz="0" w:space="0" w:color="auto"/>
        <w:right w:val="none" w:sz="0" w:space="0" w:color="auto"/>
      </w:divBdr>
      <w:divsChild>
        <w:div w:id="838232146">
          <w:marLeft w:val="0"/>
          <w:marRight w:val="0"/>
          <w:marTop w:val="0"/>
          <w:marBottom w:val="0"/>
          <w:divBdr>
            <w:top w:val="none" w:sz="0" w:space="0" w:color="auto"/>
            <w:left w:val="none" w:sz="0" w:space="0" w:color="auto"/>
            <w:bottom w:val="none" w:sz="0" w:space="0" w:color="auto"/>
            <w:right w:val="none" w:sz="0" w:space="0" w:color="auto"/>
          </w:divBdr>
          <w:divsChild>
            <w:div w:id="10287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861810">
      <w:bodyDiv w:val="1"/>
      <w:marLeft w:val="0"/>
      <w:marRight w:val="0"/>
      <w:marTop w:val="0"/>
      <w:marBottom w:val="0"/>
      <w:divBdr>
        <w:top w:val="none" w:sz="0" w:space="0" w:color="auto"/>
        <w:left w:val="none" w:sz="0" w:space="0" w:color="auto"/>
        <w:bottom w:val="none" w:sz="0" w:space="0" w:color="auto"/>
        <w:right w:val="none" w:sz="0" w:space="0" w:color="auto"/>
      </w:divBdr>
    </w:div>
    <w:div w:id="205260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61371-713A-4B0D-9784-0AE6CBAD6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6715</Words>
  <Characters>38279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lequyvien</dc:creator>
  <cp:keywords/>
  <dc:description/>
  <cp:lastModifiedBy>nguyenhuuquang</cp:lastModifiedBy>
  <cp:revision>16</cp:revision>
  <dcterms:created xsi:type="dcterms:W3CDTF">2026-08-11T11:11:00Z</dcterms:created>
  <dcterms:modified xsi:type="dcterms:W3CDTF">2026-08-18T07:41:00Z</dcterms:modified>
</cp:coreProperties>
</file>