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jc w:val="center"/>
        <w:tblLayout w:type="fixed"/>
        <w:tblLook w:val="0000" w:firstRow="0" w:lastRow="0" w:firstColumn="0" w:lastColumn="0" w:noHBand="0" w:noVBand="0"/>
      </w:tblPr>
      <w:tblGrid>
        <w:gridCol w:w="3583"/>
        <w:gridCol w:w="6340"/>
      </w:tblGrid>
      <w:tr w:rsidR="00E32A6B" w:rsidRPr="00E32A6B" w:rsidTr="00A00BD6">
        <w:trPr>
          <w:jc w:val="center"/>
        </w:trPr>
        <w:tc>
          <w:tcPr>
            <w:tcW w:w="3583" w:type="dxa"/>
          </w:tcPr>
          <w:p w:rsidR="00297FAF" w:rsidRPr="00E32A6B" w:rsidRDefault="00297FAF" w:rsidP="00297FAF">
            <w:pPr>
              <w:jc w:val="center"/>
              <w:rPr>
                <w:b/>
                <w:lang w:val="nb-NO"/>
              </w:rPr>
            </w:pPr>
            <w:r w:rsidRPr="00E32A6B">
              <w:rPr>
                <w:b/>
                <w:noProof/>
              </w:rPr>
              <mc:AlternateContent>
                <mc:Choice Requires="wps">
                  <w:drawing>
                    <wp:anchor distT="0" distB="0" distL="114300" distR="114300" simplePos="0" relativeHeight="251660288" behindDoc="0" locked="0" layoutInCell="1" allowOverlap="1" wp14:anchorId="597FD911" wp14:editId="18B75624">
                      <wp:simplePos x="0" y="0"/>
                      <wp:positionH relativeFrom="column">
                        <wp:posOffset>1760220</wp:posOffset>
                      </wp:positionH>
                      <wp:positionV relativeFrom="paragraph">
                        <wp:posOffset>-4800600</wp:posOffset>
                      </wp:positionV>
                      <wp:extent cx="3086100" cy="0"/>
                      <wp:effectExtent l="12700" t="5715" r="6350" b="13335"/>
                      <wp:wrapNone/>
                      <wp:docPr id="8043895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67EBD11"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378pt" to="381.6pt,-37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LSW1IwIAAD0EAAAOAAAAZHJzL2Uyb0RvYy54bWysU02P2yAQvVfqf0Dcs7YTJ3WsOKvKTnrZ tpGy/QEEcIyKAQGJE1X97x3Ih7LtparqAx6YmcebN8Pi+dRLdOTWCa0qnD2lGHFFNRNqX+Fvr+tR gZHzRDEiteIVPnOHn5fv3y0GU/Kx7rRk3CIAUa4cTIU7702ZJI52vCfuSRuuwNlq2xMPW7tPmCUD oPcyGafpLBm0ZcZqyp2D0+bixMuI37ac+q9t67hHssLAzcfVxnUX1mS5IOXeEtMJeqVB/oFFT4SC S+9QDfEEHaz4A6oX1GqnW/9EdZ/othWUxxqgmiz9rZptRwyPtYA4ztxlcv8Pln45biwSrMJFmk+K +XSKkSI9dGrrLRH7zqNaKwU6aovyINdgXAlZtdrYUDA9qa150fS7Q0rXHVF7Hmm/ng2AZCEjeZMS Ns7Apbvhs2YQQw5eR+1Ore0DJKiCTrFF53uL+MkjCoeTtJhlKXSS3nwJKW+Jxjr/ieseBaPCUqig HinJ8cX5QISUt5BwrPRaSBknQCo0VHg+HU9jgtNSsOAMYc7ud7W06EjCDMUvVgWexzCrD4pFsI4T trrangh5seFyqQIelAJ0rtZlSH7M0/mqWBX5KB/PVqM8bZrRx3Wdj2br7MO0mTR13WQ/A7UsLzvB GFeB3W1gs/zvBuL6dC6jdh/ZuwzJW/SoF5C9/SPp2MvQvssg7DQ7b+ytxzCjMfj6nsIjeNyD/fjq l78AAAD//wMAUEsDBBQABgAIAAAAIQBFijep3gAAAA0BAAAPAAAAZHJzL2Rvd25yZXYueG1sTI9N T4NAEIbvJv6HzZh4adpFGqFBlsao3LxYNb1OYQQiO0vZbYv+esdDo8d558n7ka8n26sjjb5zbOBm EYEirlzdcWPg7bWcr0D5gFxj75gMfJGHdXF5kWNWuxO/0HETGiUm7DM00IYwZFr7qiWLfuEGYvl9 uNFikHNsdD3iScxtr+MoSrTFjiWhxYEeWqo+NwdrwJfvtC+/Z9Us2i4bR/H+8fkJjbm+mu7vQAWa wh8Mv/WlOhTSaecOXHvVG4jTNBbUwDy9TWSVIGmyFGl3lnSR6/8rih8AAAD//wMAUEsBAi0AFAAG AAgAAAAhALaDOJL+AAAA4QEAABMAAAAAAAAAAAAAAAAAAAAAAFtDb250ZW50X1R5cGVzXS54bWxQ SwECLQAUAAYACAAAACEAOP0h/9YAAACUAQAACwAAAAAAAAAAAAAAAAAvAQAAX3JlbHMvLnJlbHNQ SwECLQAUAAYACAAAACEAgC0ltSMCAAA9BAAADgAAAAAAAAAAAAAAAAAuAgAAZHJzL2Uyb0RvYy54 bWxQSwECLQAUAAYACAAAACEARYo3qd4AAAANAQAADwAAAAAAAAAAAAAAAAB9BAAAZHJzL2Rvd25y ZXYueG1sUEsFBgAAAAAEAAQA8wAAAIgFAAAAAA== "/>
                  </w:pict>
                </mc:Fallback>
              </mc:AlternateContent>
            </w:r>
            <w:r w:rsidRPr="00E32A6B">
              <w:rPr>
                <w:b/>
                <w:lang w:val="nb-NO"/>
              </w:rPr>
              <w:t>ỦY BAN NHÂN DÂN</w:t>
            </w:r>
          </w:p>
          <w:p w:rsidR="00297FAF" w:rsidRPr="00E32A6B" w:rsidRDefault="00297FAF" w:rsidP="00297FAF">
            <w:pPr>
              <w:jc w:val="center"/>
              <w:rPr>
                <w:b/>
                <w:lang w:val="nb-NO"/>
              </w:rPr>
            </w:pPr>
            <w:r w:rsidRPr="00E32A6B">
              <w:rPr>
                <w:b/>
                <w:lang w:val="nb-NO"/>
              </w:rPr>
              <w:t>THÀNH PHỐ HUẾ</w:t>
            </w:r>
          </w:p>
          <w:p w:rsidR="00297FAF" w:rsidRPr="00E32A6B" w:rsidRDefault="00297FAF" w:rsidP="00297FAF">
            <w:pPr>
              <w:rPr>
                <w:lang w:val="nb-NO"/>
              </w:rPr>
            </w:pPr>
            <w:r w:rsidRPr="00E32A6B">
              <w:rPr>
                <w:noProof/>
              </w:rPr>
              <mc:AlternateContent>
                <mc:Choice Requires="wps">
                  <w:drawing>
                    <wp:anchor distT="0" distB="0" distL="114300" distR="114300" simplePos="0" relativeHeight="251659264" behindDoc="0" locked="0" layoutInCell="1" allowOverlap="1" wp14:anchorId="4C706B4F" wp14:editId="0FD19370">
                      <wp:simplePos x="0" y="0"/>
                      <wp:positionH relativeFrom="column">
                        <wp:posOffset>700405</wp:posOffset>
                      </wp:positionH>
                      <wp:positionV relativeFrom="paragraph">
                        <wp:posOffset>32385</wp:posOffset>
                      </wp:positionV>
                      <wp:extent cx="720000" cy="0"/>
                      <wp:effectExtent l="0" t="0" r="0" b="0"/>
                      <wp:wrapNone/>
                      <wp:docPr id="208982228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6580582"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2.55pt" to="111.85pt,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zuk8JAIAAD4EAAAOAAAAZHJzL2Uyb0RvYy54bWysU9uO2yAQfa/Uf0C8J75ssutYcVaVnfRl 242U7QcQwDEqBgQkTlT13zuQi7LtS1XVD3hgZg5nzgzz52Mv0YFbJ7SqcDZOMeKKaibUrsLf3laj AiPniWJEasUrfOIOPy8+fpgPpuS57rRk3CIAUa4cTIU7702ZJI52vCdurA1X4Gy17YmHrd0lzJIB 0HuZ5Gn6mAzaMmM15c7BaXN24kXEb1tO/WvbOu6RrDBw83G1cd2GNVnMSbmzxHSCXmiQf2DRE6Hg 0htUQzxBeyv+gOoFtdrp1o+p7hPdtoLyWANUk6W/VbPpiOGxFhDHmZtM7v/B0q+HtUWCVThPi1mR 53mRY6RID73aeEvErvOo1kqBktqihyDYYFwJebVa21AyPaqNedH0u0NK1x1ROx6Jv50MgGQhI3mX EjbOwLXb4YtmEEP2Xkf1jq3tAyTogo6xSadbk/jRIwqHT9D2FFpJr66ElNc8Y53/zHWPglFhKVSQ j5Tk8OJ84EHKa0g4VnolpIwjIBUaKjyb5tOY4LQULDhDmLO7bS0tOpAwRPGLRYHnPszqvWIRrOOE LS+2J0KebbhcqoAHlQCdi3Wekh+zdLYslsVkNMkfl6NJ2jSjT6t6MnpcZU/T5qGp6yb7Gahlk7IT jHEV2F0nNpv83URc3s551m4ze5MheY8e9QKy138kHVsZuneeg61mp7W9thiGNAZfHlR4Bfd7sO+f /eIXAAAA//8DAFBLAwQUAAYACAAAACEA8goXT9oAAAAHAQAADwAAAGRycy9kb3ducmV2LnhtbEyO y07DMBBF90j8gzVIbCrqPMRDIU6FgOzYUEBsp/GQRMTjNHbbwNczdAPLo3t17ylXsxvUnqbQezaQ LhNQxI23PbcGXl/qixtQISJbHDyTgS8KsKpOT0osrD/wM+3XsVUywqFAA12MY6F1aDpyGJZ+JJbs w08Oo+DUajvhQcbdoLMkudIOe5aHDke676j5XO+cgVC/0bb+XjSL5D1vPWXbh6dHNOb8bL67BRVp jn9l+NUXdajEaeN3bIMahNMkl6qByxSU5FmWX4PaHFlXpf7vX/0AAAD//wMAUEsBAi0AFAAGAAgA AAAhALaDOJL+AAAA4QEAABMAAAAAAAAAAAAAAAAAAAAAAFtDb250ZW50X1R5cGVzXS54bWxQSwEC LQAUAAYACAAAACEAOP0h/9YAAACUAQAACwAAAAAAAAAAAAAAAAAvAQAAX3JlbHMvLnJlbHNQSwEC LQAUAAYACAAAACEAyM7pPCQCAAA+BAAADgAAAAAAAAAAAAAAAAAuAgAAZHJzL2Uyb0RvYy54bWxQ SwECLQAUAAYACAAAACEA8goXT9oAAAAHAQAADwAAAAAAAAAAAAAAAAB+BAAAZHJzL2Rvd25yZXYu eG1sUEsFBgAAAAAEAAQA8wAAAIUFAAAAAA== "/>
                  </w:pict>
                </mc:Fallback>
              </mc:AlternateContent>
            </w:r>
            <w:r w:rsidRPr="00E32A6B">
              <w:rPr>
                <w:lang w:val="nb-NO"/>
              </w:rPr>
              <w:t xml:space="preserve">                      </w:t>
            </w:r>
          </w:p>
        </w:tc>
        <w:tc>
          <w:tcPr>
            <w:tcW w:w="6340" w:type="dxa"/>
          </w:tcPr>
          <w:p w:rsidR="00297FAF" w:rsidRPr="00E32A6B" w:rsidRDefault="00297FAF" w:rsidP="00297FAF">
            <w:pPr>
              <w:jc w:val="center"/>
              <w:rPr>
                <w:lang w:val="nb-NO"/>
              </w:rPr>
            </w:pPr>
            <w:r w:rsidRPr="00E32A6B">
              <w:rPr>
                <w:b/>
                <w:bCs/>
                <w:lang w:val="nb-NO"/>
              </w:rPr>
              <w:t>CỘNG HÒA XÃ HỘI CHỦ NGHĨA VIỆT NAM</w:t>
            </w:r>
          </w:p>
          <w:p w:rsidR="00297FAF" w:rsidRPr="00E32A6B" w:rsidRDefault="00297FAF" w:rsidP="00297FAF">
            <w:pPr>
              <w:jc w:val="center"/>
              <w:rPr>
                <w:sz w:val="28"/>
                <w:szCs w:val="28"/>
                <w:lang w:val="nb-NO"/>
              </w:rPr>
            </w:pPr>
            <w:r w:rsidRPr="00E32A6B">
              <w:rPr>
                <w:b/>
                <w:bCs/>
                <w:sz w:val="28"/>
                <w:szCs w:val="28"/>
                <w:lang w:val="nb-NO"/>
              </w:rPr>
              <w:t>Độc lập - Tự do - Hạnh phúc</w:t>
            </w:r>
          </w:p>
          <w:p w:rsidR="00297FAF" w:rsidRPr="00E32A6B" w:rsidRDefault="00297FAF" w:rsidP="00297FAF">
            <w:pPr>
              <w:jc w:val="center"/>
              <w:rPr>
                <w:lang w:val="nb-NO"/>
              </w:rPr>
            </w:pPr>
            <w:r w:rsidRPr="00E32A6B">
              <w:rPr>
                <w:b/>
                <w:bCs/>
                <w:noProof/>
              </w:rPr>
              <mc:AlternateContent>
                <mc:Choice Requires="wps">
                  <w:drawing>
                    <wp:anchor distT="0" distB="0" distL="114300" distR="114300" simplePos="0" relativeHeight="251661312" behindDoc="0" locked="0" layoutInCell="1" allowOverlap="1" wp14:anchorId="7611EC14" wp14:editId="289AA48B">
                      <wp:simplePos x="0" y="0"/>
                      <wp:positionH relativeFrom="column">
                        <wp:posOffset>873125</wp:posOffset>
                      </wp:positionH>
                      <wp:positionV relativeFrom="paragraph">
                        <wp:posOffset>40640</wp:posOffset>
                      </wp:positionV>
                      <wp:extent cx="2160000" cy="0"/>
                      <wp:effectExtent l="0" t="0" r="31115" b="19050"/>
                      <wp:wrapNone/>
                      <wp:docPr id="164249576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5A8B56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3.2pt" to="238.85pt,3.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MRLcIwIAAD8EAAAOAAAAZHJzL2Uyb0RvYy54bWysU8uu2yAQ3VfqPyD2iR91chMrzlVlJ93c tpFy+wEEcIyKAQGJE1X99w7kodx2U1X1Ag/MzOHMmWHxfOolOnLrhFYVzsYpRlxRzYTaV/jb63o0 w8h5ohiRWvEKn7nDz8v37xaDKXmuOy0ZtwhAlCsHU+HOe1MmiaMd74kba8MVOFtte+Jha/cJs2QA 9F4meZpOk0FbZqym3Dk4bS5OvIz4bcup/9q2jnskKwzcfFxtXHdhTZYLUu4tMZ2gVxrkH1j0RCi4 9A7VEE/QwYo/oHpBrXa69WOq+0S3raA81gDVZOlv1Ww7YnisBcRx5i6T+3+w9MtxY5Fg0LtpkRfz ydN0gpEiPfRq6y0R+86jWisFSmqL8iDYYFwJebXa2FAyPamtedH0u0NK1x1Rex6Jv54NgGQhI3mT EjbOwLW74bNmEEMOXkf1Tq3tAyTogk6xSed7k/jJIwqHeTZN4cOI3nwJKW+Jxjr/ieseBaPCUqig HynJ8cX5QISUt5BwrPRaSBlnQCo0VHg+yScxwWkpWHCGMGf3u1padCRhiuIXqwLPY5jVB8UiWMcJ W11tT4S82HC5VAEPSgE6V+syJj/m6Xw1W82KUZFPV6MibZrRx3VdjKbr7GnSfGjqusl+BmpZUXaC Ma4Cu9vIZsXfjcT18VyG7T60dxmSt+hRLyB7+0fSsZehfZdB2Gl23thbj2FKY/D1RYVn8LgH+/Hd L38BAAD//wMAUEsDBBQABgAIAAAAIQAh578g2wAAAAcBAAAPAAAAZHJzL2Rvd25yZXYueG1sTI7B TsMwEETvSPyDtUhcKurQlgaFOBUCcuuFAuK6jZckIl6nsdsGvr4LFzg+zWjm5avRdepAQ2g9G7ie JqCIK29brg28vpRXt6BCRLbYeSYDXxRgVZyf5ZhZf+RnOmxirWSEQ4YGmhj7TOtQNeQwTH1PLNmH HxxGwaHWdsCjjLtOz5JkqR22LA8N9vTQUPW52TsDoXyjXfk9qSbJ+7z2NNs9rp/QmMuL8f4OVKQx /pXhR1/UoRCnrd+zDaoTnqc3UjWwXICSfJGmKajtL+si1//9ixMAAAD//wMAUEsBAi0AFAAGAAgA AAAhALaDOJL+AAAA4QEAABMAAAAAAAAAAAAAAAAAAAAAAFtDb250ZW50X1R5cGVzXS54bWxQSwEC LQAUAAYACAAAACEAOP0h/9YAAACUAQAACwAAAAAAAAAAAAAAAAAvAQAAX3JlbHMvLnJlbHNQSwEC LQAUAAYACAAAACEA6DES3CMCAAA/BAAADgAAAAAAAAAAAAAAAAAuAgAAZHJzL2Uyb0RvYy54bWxQ SwECLQAUAAYACAAAACEAIee/INsAAAAHAQAADwAAAAAAAAAAAAAAAAB9BAAAZHJzL2Rvd25yZXYu eG1sUEsFBgAAAAAEAAQA8wAAAIUFAAAAAA== "/>
                  </w:pict>
                </mc:Fallback>
              </mc:AlternateContent>
            </w:r>
          </w:p>
        </w:tc>
      </w:tr>
      <w:tr w:rsidR="00297FAF" w:rsidRPr="00E32A6B" w:rsidTr="00A00BD6">
        <w:trPr>
          <w:jc w:val="center"/>
        </w:trPr>
        <w:tc>
          <w:tcPr>
            <w:tcW w:w="3583" w:type="dxa"/>
          </w:tcPr>
          <w:p w:rsidR="00297FAF" w:rsidRPr="00E32A6B" w:rsidRDefault="00297FAF" w:rsidP="00297FAF">
            <w:pPr>
              <w:jc w:val="center"/>
              <w:rPr>
                <w:b/>
                <w:bCs/>
              </w:rPr>
            </w:pPr>
            <w:r w:rsidRPr="00E32A6B">
              <w:t>Số:        /TTr-UBND</w:t>
            </w:r>
          </w:p>
        </w:tc>
        <w:tc>
          <w:tcPr>
            <w:tcW w:w="6340" w:type="dxa"/>
          </w:tcPr>
          <w:p w:rsidR="00297FAF" w:rsidRPr="00E32A6B" w:rsidRDefault="00297FAF" w:rsidP="001F5AC6">
            <w:pPr>
              <w:jc w:val="center"/>
              <w:rPr>
                <w:b/>
                <w:bCs/>
              </w:rPr>
            </w:pPr>
            <w:r w:rsidRPr="00E32A6B">
              <w:rPr>
                <w:i/>
                <w:iCs/>
              </w:rPr>
              <w:t xml:space="preserve">   Huế, ngày      tháng </w:t>
            </w:r>
            <w:r w:rsidR="001F5AC6" w:rsidRPr="00E32A6B">
              <w:rPr>
                <w:i/>
                <w:iCs/>
              </w:rPr>
              <w:t>8</w:t>
            </w:r>
            <w:r w:rsidRPr="00E32A6B">
              <w:rPr>
                <w:i/>
                <w:iCs/>
              </w:rPr>
              <w:t xml:space="preserve"> năm 2026</w:t>
            </w:r>
          </w:p>
        </w:tc>
      </w:tr>
    </w:tbl>
    <w:p w:rsidR="00297FAF" w:rsidRPr="00E32A6B" w:rsidRDefault="00297FAF" w:rsidP="00297FAF">
      <w:pPr>
        <w:jc w:val="center"/>
        <w:rPr>
          <w:b/>
          <w:sz w:val="28"/>
          <w:szCs w:val="28"/>
        </w:rPr>
      </w:pPr>
    </w:p>
    <w:p w:rsidR="00297FAF" w:rsidRPr="00E32A6B" w:rsidRDefault="00297FAF" w:rsidP="00297FAF">
      <w:pPr>
        <w:jc w:val="center"/>
        <w:rPr>
          <w:b/>
          <w:sz w:val="28"/>
          <w:szCs w:val="28"/>
          <w:lang w:val="vi-VN"/>
        </w:rPr>
      </w:pPr>
      <w:r w:rsidRPr="00E32A6B">
        <w:rPr>
          <w:b/>
          <w:sz w:val="28"/>
          <w:szCs w:val="28"/>
          <w:lang w:val="vi-VN"/>
        </w:rPr>
        <w:t>TỜ TRÌNH</w:t>
      </w:r>
    </w:p>
    <w:p w:rsidR="00013073" w:rsidRPr="00E32A6B" w:rsidRDefault="001F5AC6" w:rsidP="001F5AC6">
      <w:pPr>
        <w:spacing w:before="40" w:after="40"/>
        <w:jc w:val="center"/>
        <w:rPr>
          <w:b/>
          <w:bCs/>
          <w:sz w:val="28"/>
          <w:szCs w:val="28"/>
        </w:rPr>
      </w:pPr>
      <w:bookmarkStart w:id="0" w:name="_Hlk206591329"/>
      <w:r w:rsidRPr="00E32A6B">
        <w:rPr>
          <w:b/>
          <w:bCs/>
          <w:sz w:val="28"/>
          <w:szCs w:val="28"/>
        </w:rPr>
        <w:t xml:space="preserve">Dự thảo Nghị quyết của Hội đồng nhân dân thành phố </w:t>
      </w:r>
    </w:p>
    <w:p w:rsidR="001F5AC6" w:rsidRPr="00E32A6B" w:rsidRDefault="001F5AC6" w:rsidP="001F5AC6">
      <w:pPr>
        <w:spacing w:before="40" w:after="40"/>
        <w:jc w:val="center"/>
        <w:rPr>
          <w:b/>
          <w:bCs/>
          <w:sz w:val="28"/>
          <w:szCs w:val="28"/>
        </w:rPr>
      </w:pPr>
      <w:r w:rsidRPr="00E32A6B">
        <w:rPr>
          <w:b/>
          <w:bCs/>
          <w:sz w:val="28"/>
          <w:szCs w:val="28"/>
        </w:rPr>
        <w:t>Quy</w:t>
      </w:r>
      <w:r w:rsidR="00297FAF" w:rsidRPr="00E32A6B">
        <w:rPr>
          <w:b/>
          <w:bCs/>
          <w:sz w:val="28"/>
          <w:szCs w:val="28"/>
        </w:rPr>
        <w:t xml:space="preserve"> định mức hỗ trợ</w:t>
      </w:r>
      <w:r w:rsidRPr="00E32A6B">
        <w:rPr>
          <w:b/>
          <w:bCs/>
          <w:sz w:val="28"/>
          <w:szCs w:val="28"/>
        </w:rPr>
        <w:t xml:space="preserve"> </w:t>
      </w:r>
      <w:r w:rsidR="00297FAF" w:rsidRPr="00E32A6B">
        <w:rPr>
          <w:b/>
          <w:bCs/>
          <w:sz w:val="28"/>
          <w:szCs w:val="28"/>
        </w:rPr>
        <w:t xml:space="preserve">đối với Tổ Công nghệ số cộng đồng </w:t>
      </w:r>
    </w:p>
    <w:p w:rsidR="00297FAF" w:rsidRPr="00E32A6B" w:rsidRDefault="00297FAF" w:rsidP="001F5AC6">
      <w:pPr>
        <w:spacing w:before="40" w:after="40"/>
        <w:jc w:val="center"/>
      </w:pPr>
      <w:r w:rsidRPr="00E32A6B">
        <w:rPr>
          <w:b/>
          <w:bCs/>
          <w:sz w:val="28"/>
          <w:szCs w:val="28"/>
        </w:rPr>
        <w:t>trên địa bàn thành phố Huế</w:t>
      </w:r>
    </w:p>
    <w:p w:rsidR="00297FAF" w:rsidRPr="00E32A6B" w:rsidRDefault="00297FAF" w:rsidP="00297FAF">
      <w:pPr>
        <w:widowControl w:val="0"/>
        <w:ind w:right="-200"/>
        <w:jc w:val="center"/>
        <w:rPr>
          <w:b/>
          <w:bCs/>
          <w:spacing w:val="-6"/>
          <w:sz w:val="28"/>
          <w:szCs w:val="28"/>
          <w:lang w:val="nl-NL"/>
        </w:rPr>
      </w:pPr>
    </w:p>
    <w:tbl>
      <w:tblPr>
        <w:tblW w:w="9417" w:type="dxa"/>
        <w:jc w:val="center"/>
        <w:tblLayout w:type="fixed"/>
        <w:tblLook w:val="0000" w:firstRow="0" w:lastRow="0" w:firstColumn="0" w:lastColumn="0" w:noHBand="0" w:noVBand="0"/>
      </w:tblPr>
      <w:tblGrid>
        <w:gridCol w:w="9417"/>
      </w:tblGrid>
      <w:tr w:rsidR="00E32A6B" w:rsidRPr="00E32A6B" w:rsidTr="00A00BD6">
        <w:trPr>
          <w:trHeight w:val="97"/>
          <w:jc w:val="center"/>
        </w:trPr>
        <w:tc>
          <w:tcPr>
            <w:tcW w:w="9417" w:type="dxa"/>
          </w:tcPr>
          <w:bookmarkEnd w:id="0"/>
          <w:p w:rsidR="00297FAF" w:rsidRPr="00E32A6B" w:rsidRDefault="00297FAF" w:rsidP="00297FAF">
            <w:pPr>
              <w:spacing w:before="120" w:after="120"/>
              <w:ind w:left="953" w:hanging="953"/>
              <w:jc w:val="center"/>
              <w:rPr>
                <w:sz w:val="28"/>
                <w:szCs w:val="28"/>
              </w:rPr>
            </w:pPr>
            <w:r w:rsidRPr="00E32A6B">
              <w:rPr>
                <w:sz w:val="28"/>
                <w:szCs w:val="28"/>
                <w:lang w:val="fr-FR"/>
              </w:rPr>
              <w:t>K</w:t>
            </w:r>
            <w:r w:rsidRPr="00E32A6B">
              <w:rPr>
                <w:sz w:val="28"/>
                <w:szCs w:val="28"/>
                <w:lang w:val="vi-VN"/>
              </w:rPr>
              <w:t xml:space="preserve">ính gửi: Hội đồng nhân dân </w:t>
            </w:r>
            <w:r w:rsidRPr="00E32A6B">
              <w:rPr>
                <w:sz w:val="28"/>
                <w:szCs w:val="28"/>
              </w:rPr>
              <w:t>thành phố Huế</w:t>
            </w:r>
            <w:r w:rsidR="00D04044">
              <w:rPr>
                <w:sz w:val="28"/>
                <w:szCs w:val="28"/>
              </w:rPr>
              <w:t>.</w:t>
            </w:r>
          </w:p>
        </w:tc>
      </w:tr>
    </w:tbl>
    <w:p w:rsidR="00534110" w:rsidRPr="00E32A6B" w:rsidRDefault="00D87555" w:rsidP="0071610F">
      <w:pPr>
        <w:spacing w:before="120" w:line="360" w:lineRule="exact"/>
        <w:ind w:firstLine="709"/>
        <w:jc w:val="both"/>
        <w:rPr>
          <w:sz w:val="28"/>
          <w:szCs w:val="28"/>
        </w:rPr>
      </w:pPr>
      <w:r w:rsidRPr="00E32A6B">
        <w:rPr>
          <w:sz w:val="28"/>
          <w:szCs w:val="28"/>
        </w:rPr>
        <w:t>Thực hiện quy định của Luật Ban hành văn bản quy phạm pháp luật số 64/2025/QH15 (được sửa đổi, bổ sung bởi Luật số 87/2025/QH15); Nghị quyết số 01/NQ-TT.HĐND ngày 23/01/2026 của Thường trực Hội đồng nhân dân thành phố về chương trình xây dựng nghị quyết Hội đồng nhân dân thành phố Huế năm 2026 (đợt 2); Công văn số 3733/UBND-KH ngày 17/3/2026 của Ủy ban nhân dân thành phố về điều chỉnh thời gian trình sang Quý III/2026, Ủy ban nhân dân thành phố kính trình Hội đồng nhân dân thành phố dự thảo Nghị quyết quy định mức hỗ trợ đối với Tổ Công nghệ số cộng đồng trên địa bàn thành phố Huế (sau đây viết tắt là Tổ CNSCĐ), như sau:</w:t>
      </w:r>
    </w:p>
    <w:p w:rsidR="00534110" w:rsidRPr="00E32A6B" w:rsidRDefault="00D87555" w:rsidP="0071610F">
      <w:pPr>
        <w:spacing w:before="120" w:line="360" w:lineRule="exact"/>
        <w:ind w:firstLine="709"/>
        <w:rPr>
          <w:sz w:val="28"/>
          <w:szCs w:val="28"/>
        </w:rPr>
      </w:pPr>
      <w:r w:rsidRPr="00E32A6B">
        <w:rPr>
          <w:b/>
          <w:bCs/>
          <w:caps/>
          <w:sz w:val="28"/>
          <w:szCs w:val="28"/>
        </w:rPr>
        <w:t>I. SỰ CẦN THIẾT BAN HÀNH NGHỊ QUYẾT</w:t>
      </w:r>
    </w:p>
    <w:p w:rsidR="00534110" w:rsidRPr="00E32A6B" w:rsidRDefault="00D87555" w:rsidP="0071610F">
      <w:pPr>
        <w:spacing w:before="120" w:line="360" w:lineRule="exact"/>
        <w:ind w:firstLine="709"/>
        <w:jc w:val="both"/>
        <w:rPr>
          <w:sz w:val="28"/>
          <w:szCs w:val="28"/>
        </w:rPr>
      </w:pPr>
      <w:r w:rsidRPr="00E32A6B">
        <w:rPr>
          <w:b/>
          <w:bCs/>
          <w:sz w:val="28"/>
          <w:szCs w:val="28"/>
        </w:rPr>
        <w:t>1. Cơ sở chính trị, pháp lý</w:t>
      </w:r>
    </w:p>
    <w:p w:rsidR="00534110" w:rsidRPr="00E32A6B" w:rsidRDefault="00D87555" w:rsidP="0071610F">
      <w:pPr>
        <w:spacing w:before="120" w:line="360" w:lineRule="exact"/>
        <w:ind w:firstLine="709"/>
        <w:jc w:val="both"/>
        <w:rPr>
          <w:sz w:val="28"/>
          <w:szCs w:val="28"/>
        </w:rPr>
      </w:pPr>
      <w:r w:rsidRPr="00E32A6B">
        <w:rPr>
          <w:sz w:val="28"/>
          <w:szCs w:val="28"/>
        </w:rPr>
        <w:t>- Luật Tổ chức chính quyền địa phương số 72/2025/QH15.</w:t>
      </w:r>
    </w:p>
    <w:p w:rsidR="00534110" w:rsidRPr="00E32A6B" w:rsidRDefault="00D87555" w:rsidP="0071610F">
      <w:pPr>
        <w:spacing w:before="120" w:line="360" w:lineRule="exact"/>
        <w:ind w:firstLine="709"/>
        <w:jc w:val="both"/>
        <w:rPr>
          <w:sz w:val="28"/>
          <w:szCs w:val="28"/>
        </w:rPr>
      </w:pPr>
      <w:r w:rsidRPr="00E32A6B">
        <w:rPr>
          <w:sz w:val="28"/>
          <w:szCs w:val="28"/>
        </w:rPr>
        <w:t xml:space="preserve">- Điểm c khoản 1 Điều 21 Luật Ban hành văn bản quy phạm pháp luật số 64/2025/QH15 (được sửa đổi, bổ sung bởi khoản 3 Điều 1 Luật số 87/2025/QH15), quy định Hội đồng nhân dân cấp tỉnh ban hành nghị quyết để quy định: </w:t>
      </w:r>
      <w:r w:rsidRPr="00E32A6B">
        <w:rPr>
          <w:i/>
          <w:iCs/>
          <w:sz w:val="28"/>
          <w:szCs w:val="28"/>
        </w:rPr>
        <w:t>"Chính sách, biện pháp nhằm phát triển kinh tế - xã hội, ngân sách, quốc phòng, an ninh ở địa phương; biện pháp khác có tính chất đặc thù phù hợp với điều kiện phát triển kinh tế - xã hội của địa phương; phân cấp và thực hiện nhiệm vụ, quyền hạn được phân cấp".</w:t>
      </w:r>
    </w:p>
    <w:p w:rsidR="00534110" w:rsidRPr="00E32A6B" w:rsidRDefault="00D87555" w:rsidP="0071610F">
      <w:pPr>
        <w:spacing w:before="120" w:line="360" w:lineRule="exact"/>
        <w:ind w:firstLine="709"/>
        <w:jc w:val="both"/>
        <w:rPr>
          <w:sz w:val="28"/>
          <w:szCs w:val="28"/>
        </w:rPr>
      </w:pPr>
      <w:r w:rsidRPr="00E32A6B">
        <w:rPr>
          <w:sz w:val="28"/>
          <w:szCs w:val="28"/>
        </w:rPr>
        <w:t xml:space="preserve">- Điểm l khoản 9 Điều 31 Luật Ngân sách nhà nước số 89/2025/QH15 (được sửa đổi, bổ sung bởi Luật số 145/2025/QH15), quy định Hội đồng nhân dân cấp tỉnh có nhiệm vụ, quyền hạn: </w:t>
      </w:r>
      <w:r w:rsidRPr="00E32A6B">
        <w:rPr>
          <w:i/>
          <w:iCs/>
          <w:sz w:val="28"/>
          <w:szCs w:val="28"/>
        </w:rPr>
        <w:t xml:space="preserve">"Quyết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 </w:t>
      </w:r>
      <w:r w:rsidRPr="00E32A6B">
        <w:rPr>
          <w:sz w:val="28"/>
          <w:szCs w:val="28"/>
        </w:rPr>
        <w:t>Nghị định số 73/2026/NĐ-CP của Chính phủ quy định chi tiết và hướng dẫn thi hành một số điều của Luật Ngân sách nhà nước, trong đó có điểm l khoản 9 Điều 31 nêu trên.</w:t>
      </w:r>
    </w:p>
    <w:p w:rsidR="00534110" w:rsidRPr="00E32A6B" w:rsidRDefault="00D87555" w:rsidP="0071610F">
      <w:pPr>
        <w:spacing w:before="120" w:line="360" w:lineRule="exact"/>
        <w:ind w:firstLine="709"/>
        <w:jc w:val="both"/>
        <w:rPr>
          <w:i/>
          <w:sz w:val="28"/>
          <w:szCs w:val="28"/>
        </w:rPr>
      </w:pPr>
      <w:r w:rsidRPr="00E32A6B">
        <w:rPr>
          <w:sz w:val="28"/>
          <w:szCs w:val="28"/>
        </w:rPr>
        <w:lastRenderedPageBreak/>
        <w:t xml:space="preserve">- Luật Chuyển đổi số số 148/2025/QH15 và </w:t>
      </w:r>
      <w:r w:rsidRPr="00E32A6B">
        <w:rPr>
          <w:bCs/>
          <w:sz w:val="28"/>
          <w:szCs w:val="28"/>
        </w:rPr>
        <w:t>Điều 79 Nghị định số 224/2026/NĐ-CP ngày 24/6/2026 của Chính phủ</w:t>
      </w:r>
      <w:r w:rsidRPr="00E32A6B">
        <w:rPr>
          <w:sz w:val="28"/>
          <w:szCs w:val="28"/>
        </w:rPr>
        <w:t xml:space="preserve"> quy định chi tiết một số điều và biện pháp thi hành Luật Chuyển đổi số, có hiệu lực từ ngày 01/7/2026, là căn cứ pháp lý trực tiếp về Tổ CNSCĐ: Tổ được tổ chức tại thôn, tổ dân phố hoặc đơn vị tương đương, hoạt động tự nguyện, không phát sinh biên chế; UBND cấp xã thành lập, tổ chức hoạt động. Khoản 5 Điều 79 quy định, căn cứ khả năng cân đối ngân sách, người tham gia Tổ được xem xét chi trả phụ cấp không vượt quá mức áp dụng đối với người hoạt động không c</w:t>
      </w:r>
      <w:r w:rsidR="00C1283F" w:rsidRPr="00E32A6B">
        <w:rPr>
          <w:sz w:val="28"/>
          <w:szCs w:val="28"/>
        </w:rPr>
        <w:t>huyên trách ở thôn, tổ dân phố.</w:t>
      </w:r>
    </w:p>
    <w:p w:rsidR="00AA1E82" w:rsidRPr="00E32A6B" w:rsidRDefault="00AA1E82" w:rsidP="00C1283F">
      <w:pPr>
        <w:spacing w:before="120" w:line="360" w:lineRule="exact"/>
        <w:ind w:firstLine="709"/>
        <w:jc w:val="both"/>
        <w:rPr>
          <w:i/>
          <w:sz w:val="28"/>
          <w:szCs w:val="28"/>
        </w:rPr>
      </w:pPr>
      <w:r w:rsidRPr="00E32A6B">
        <w:rPr>
          <w:sz w:val="28"/>
          <w:szCs w:val="28"/>
        </w:rPr>
        <w:t>- Thông tư số 39/2026/TT-BKHCN ngày 01/7/2026 của Bộ Khoa học và Công nghệ quy định lập và quản lý chi phí trong hoạt động đầu tư, mua sắm, thuê dịch vụ cho chuyển đổi số sử dụng ngân sách nhà nước (điểm m khoản 7 Điều 3)</w:t>
      </w:r>
      <w:r w:rsidR="00C1283F" w:rsidRPr="00E32A6B">
        <w:rPr>
          <w:sz w:val="28"/>
          <w:szCs w:val="28"/>
        </w:rPr>
        <w:t xml:space="preserve"> quy định: </w:t>
      </w:r>
      <w:r w:rsidR="00C1283F" w:rsidRPr="00E32A6B">
        <w:rPr>
          <w:i/>
          <w:sz w:val="28"/>
          <w:szCs w:val="28"/>
        </w:rPr>
        <w:t>“m) Chi hỗ trợ hoạt động của mạng lưới chuyển đổi số, tổ công nghệ số, tổ chuyển đổi số cộng đồng tại địa phương quy định tại khoản 5 Điều 79 của Nghị định số 224/2026/NĐ-CP: Hội đồng nhân dân cấp tỉnh quyết định chính sách hỗ trợ hoạt động, nội dung chi hỗ trợ, mức kinh phí hỗ trợ từ nguồn ngân sách địa phương trên cơ sở phù hợp với khả năng cân đối ngân sách của địa phương. Khuyến khích huy động kinh phí hỗ trợ từ các nguồn vốn hợp pháp khác. Các nội dung chi hỗ trợ cơ bản bao gồm: m1) Phụ cấp hỗ trợ cho người tham gia tổ công nghệ số cộng đồng, tổ chuyển đổi số cộng đồng; m2) Hỗ trợ chi phí gói cước viễn thông cho người tham gia tổ công nghệ số cộng đồng, tổ chuyển đổi số cộng đồng để thực hiện nhiệm vụ của tổ công nghệ số cộng đồng, tổ chuyển đổi số cộng đồng; m3) Các nội dung chi hỗ trợ khác để thực hiện nhiệm vụ của tổ công nghệ số cộng đồng, tổ chuyển đổi số cộng đồng.”</w:t>
      </w:r>
    </w:p>
    <w:p w:rsidR="0032149F" w:rsidRPr="00E32A6B" w:rsidRDefault="00D87555" w:rsidP="0032149F">
      <w:pPr>
        <w:pStyle w:val="NormalWeb"/>
        <w:spacing w:before="120" w:beforeAutospacing="0" w:after="0" w:afterAutospacing="0"/>
        <w:ind w:firstLine="720"/>
        <w:jc w:val="both"/>
        <w:rPr>
          <w:sz w:val="28"/>
          <w:szCs w:val="28"/>
        </w:rPr>
      </w:pPr>
      <w:r w:rsidRPr="00E32A6B">
        <w:rPr>
          <w:sz w:val="28"/>
          <w:szCs w:val="28"/>
        </w:rPr>
        <w:t>- Nghị quyết số 57-NQ/TW ngày 22/12/2024 của Bộ Chính trị về đột phá phát triển khoa học, công nghệ, đổi mới sáng tạo và chuyển đổi số quốc gia;</w:t>
      </w:r>
      <w:r w:rsidRPr="00E32A6B">
        <w:rPr>
          <w:spacing w:val="-10"/>
          <w:sz w:val="28"/>
          <w:szCs w:val="28"/>
          <w:lang w:val="nb-NO"/>
        </w:rPr>
        <w:t xml:space="preserve"> </w:t>
      </w:r>
      <w:bookmarkStart w:id="1" w:name="_Hlk220660495"/>
      <w:r w:rsidRPr="00E32A6B">
        <w:rPr>
          <w:spacing w:val="-10"/>
          <w:sz w:val="28"/>
          <w:szCs w:val="28"/>
          <w:lang w:val="nb-NO"/>
        </w:rPr>
        <w:t xml:space="preserve">Quyết định số 749/QĐ-TTg ngày 03/6/2020 </w:t>
      </w:r>
      <w:r w:rsidRPr="00E32A6B">
        <w:rPr>
          <w:sz w:val="28"/>
          <w:szCs w:val="28"/>
        </w:rPr>
        <w:t>của Thủ tướng Chính phủ về phê duyệt Chương trình chuyển đổi số quốc gia đến năm 2025</w:t>
      </w:r>
      <w:bookmarkEnd w:id="1"/>
      <w:r w:rsidRPr="00E32A6B">
        <w:rPr>
          <w:sz w:val="28"/>
          <w:szCs w:val="28"/>
        </w:rPr>
        <w:t>, định hướng đến năm 2030; theo đó đã xác định quan điểm sự vào cuộc của cả hệ thống chính trị, hành động đồng bộ ở các cấp và sự tham gia của toàn dân là yếu tố bảo đảm sự thành công của chuyển đổi số.</w:t>
      </w:r>
    </w:p>
    <w:p w:rsidR="00534110" w:rsidRPr="00E32A6B" w:rsidRDefault="0032149F" w:rsidP="0071610F">
      <w:pPr>
        <w:spacing w:before="120" w:line="360" w:lineRule="exact"/>
        <w:ind w:firstLine="709"/>
        <w:jc w:val="both"/>
        <w:rPr>
          <w:sz w:val="28"/>
          <w:szCs w:val="28"/>
        </w:rPr>
      </w:pPr>
      <w:r w:rsidRPr="00E32A6B">
        <w:rPr>
          <w:sz w:val="28"/>
          <w:szCs w:val="28"/>
        </w:rPr>
        <w:t>- Quyết định số 411/QĐ-TTg ngày 31/3/2022 của Thủ tướng Chính phủ về Chiến lược quốc gia phát triển kinh tế số và xã hội số, xác định giải pháp tổ chức Tổ CNSCĐ đến từng khu phố, thôn, bản với các tổ viên là các cán bộ kiêm nhiệm và các thành viên tại chỗ năng nổ, nhiệt tình, được đào tạo về kỹ năng số để phổ biến hướng dẫn, trợ giúp người dân sử dụng công nghệ số và các nền tảng số, hình thành mạng lưới triển khai công nghệ rộng khắp trên toàn quốc.</w:t>
      </w:r>
    </w:p>
    <w:p w:rsidR="0032149F" w:rsidRPr="00E32A6B" w:rsidRDefault="0032149F" w:rsidP="0032149F">
      <w:pPr>
        <w:spacing w:before="120"/>
        <w:ind w:firstLine="720"/>
        <w:jc w:val="both"/>
        <w:rPr>
          <w:iCs/>
          <w:sz w:val="28"/>
          <w:szCs w:val="28"/>
          <w:lang w:val="nl-NL"/>
        </w:rPr>
      </w:pPr>
      <w:r w:rsidRPr="00E32A6B">
        <w:rPr>
          <w:iCs/>
          <w:sz w:val="28"/>
          <w:szCs w:val="28"/>
          <w:lang w:val="nl-NL"/>
        </w:rPr>
        <w:t xml:space="preserve">- Quyết định số 1690/QĐ-TTg ngày 26/12/2023 của Thủ tướng Chính phủ phê duyệt Đề án kiện toàn tổ chức bộ máy, nâng cao năng lực quản lý nhà nước và thực thi pháp luật về chuyển đổi số từ trung ương đến địa phương đến năm </w:t>
      </w:r>
      <w:r w:rsidRPr="00E32A6B">
        <w:rPr>
          <w:iCs/>
          <w:sz w:val="28"/>
          <w:szCs w:val="28"/>
          <w:lang w:val="nl-NL"/>
        </w:rPr>
        <w:lastRenderedPageBreak/>
        <w:t>2025, định hướng đến năm 2030; trong đó có nhiệm vụ thiết lập và đẩy mạnh hoạt động Mạng lưới chuyển đổi số từ Trung ương đến cơ sở, bao gồm các thành viên Tổ CNSCĐ.</w:t>
      </w:r>
    </w:p>
    <w:p w:rsidR="0032149F" w:rsidRPr="00E32A6B" w:rsidRDefault="0032149F" w:rsidP="0032149F">
      <w:pPr>
        <w:snapToGrid w:val="0"/>
        <w:spacing w:before="120"/>
        <w:ind w:firstLine="720"/>
        <w:jc w:val="both"/>
        <w:rPr>
          <w:iCs/>
          <w:sz w:val="28"/>
          <w:szCs w:val="28"/>
          <w:lang w:val="nl-NL"/>
        </w:rPr>
      </w:pPr>
      <w:r w:rsidRPr="00E32A6B">
        <w:rPr>
          <w:sz w:val="28"/>
          <w:szCs w:val="28"/>
        </w:rPr>
        <w:t>- Kế hoạch 02-KH/BCĐTW, ngày 19/6/2025 của Ban Chỉ đạo Trung ương về phát triển khoa học, công nghệ, đổi mới sáng tạo và chuyển đổi số về thúc đẩy chuyển đổi số liên thông, đồng bộ, nhanh, hiệu quả đáp ứng yêu cầu sắp xếp tổ chức bộ máy của hệ thống chính trị, trong đó nêu: Các địa phương thành lập và duy trì hoạt động hiệu quả của các “Tổ công nghệ số cộng đồng”, “Đội hỗ trợ phản ứng nhanh” để thực hiện “cầm tay chỉ việc”, hỗ trợ, giải đáp vướng mắc kịp thời cho cán bộ và người dân tại cơ sở.</w:t>
      </w:r>
    </w:p>
    <w:p w:rsidR="0032149F" w:rsidRPr="00E32A6B" w:rsidRDefault="0032149F" w:rsidP="0032149F">
      <w:pPr>
        <w:spacing w:before="120"/>
        <w:ind w:firstLine="720"/>
        <w:jc w:val="both"/>
        <w:rPr>
          <w:iCs/>
          <w:sz w:val="28"/>
          <w:szCs w:val="28"/>
          <w:lang w:val="nl-NL"/>
        </w:rPr>
      </w:pPr>
      <w:r w:rsidRPr="00E32A6B">
        <w:rPr>
          <w:iCs/>
          <w:sz w:val="28"/>
          <w:szCs w:val="28"/>
          <w:lang w:val="nl-NL"/>
        </w:rPr>
        <w:t>- Quyết định số 2629/QĐ-TTg ngày 01/12/2025 của Thủ tướng Chính phủ về việc phê duyệt Chương trình phát triển Chính phủ số, nhiệm vụ về Phát triển nhân lực số có nêu: Bố trí nhân lực chuyên trách công nghệ thông tin, chuyển đổi số; triển khai thực chất, hiệu quả phong trào “Bình dân học vụ số” và hoạt động của các Tổ công nghệ số cộng đồng.</w:t>
      </w:r>
    </w:p>
    <w:p w:rsidR="00EA6B31" w:rsidRPr="00E32A6B" w:rsidRDefault="0032149F" w:rsidP="00EA6B31">
      <w:pPr>
        <w:spacing w:before="120" w:line="360" w:lineRule="exact"/>
        <w:ind w:firstLine="709"/>
        <w:jc w:val="both"/>
        <w:rPr>
          <w:iCs/>
          <w:sz w:val="28"/>
          <w:szCs w:val="28"/>
          <w:lang w:val="nl-NL"/>
        </w:rPr>
      </w:pPr>
      <w:r w:rsidRPr="00E32A6B">
        <w:rPr>
          <w:iCs/>
          <w:sz w:val="28"/>
          <w:szCs w:val="28"/>
          <w:lang w:val="nl-NL"/>
        </w:rPr>
        <w:t xml:space="preserve">- Công văn số 793/BTTTT-THH ngày 05/3/2022 của Bộ Thông tin và Truyền thông (nay là Bộ Khoa học và Công nghệ) hướng dẫn triển khai thí điểm mô hình </w:t>
      </w:r>
      <w:r w:rsidRPr="00E32A6B">
        <w:rPr>
          <w:sz w:val="28"/>
          <w:szCs w:val="28"/>
        </w:rPr>
        <w:t>Tổ CNSCĐ</w:t>
      </w:r>
      <w:r w:rsidRPr="00E32A6B">
        <w:rPr>
          <w:iCs/>
          <w:sz w:val="28"/>
          <w:szCs w:val="28"/>
          <w:lang w:val="nl-NL"/>
        </w:rPr>
        <w:t xml:space="preserve"> tại các thôn, bản, tổ dân phố. Mỗi Tổ CNSCĐ gồm Trưởng thôn/bản, Tổ trưởng tổ dân phố và các nhân sự (khuyến nghị có sự tham gia của Đoàn Thanh niên Cộng sản Hồ Chí Minh) có lòng nhiệt tình hoạt động cộng đồng, có tư duy muốn chấp nhận và thử nghiệm cái mới, có kỹ năng sử dụng nền tảng số, công nghệ số, có khả năng tuyên truyền, hướng dẫn, hỗ trợ người dân sử dụng công nghệ số.</w:t>
      </w:r>
    </w:p>
    <w:p w:rsidR="00534110" w:rsidRPr="00E32A6B" w:rsidRDefault="00D87555" w:rsidP="0071610F">
      <w:pPr>
        <w:spacing w:before="120" w:line="360" w:lineRule="exact"/>
        <w:ind w:firstLine="709"/>
        <w:jc w:val="both"/>
        <w:rPr>
          <w:sz w:val="28"/>
          <w:szCs w:val="28"/>
        </w:rPr>
      </w:pPr>
      <w:r w:rsidRPr="00E32A6B">
        <w:rPr>
          <w:sz w:val="28"/>
          <w:szCs w:val="28"/>
        </w:rPr>
        <w:t>- Kế hoạch số 405/KH-UBND ngày 29/10/2024; Kế hoạch số 295-KH/TU ngày 30/6/2025 của Thành ủy; Kế hoạch số 02-KH/BCĐ ngày 10/01/2026 và Kết luận số 01-KL/BCĐ ngày 31/12/2025 của Ban Chỉ đạo thành phố; Chương trình hành động số 286/CTr-UBND ngày 19/5/2026 thực hiện Nghị quyết 05-NQ/TU ngày 01/4/2026 của Thành ủy - đều giao nhiệm vụ xây dựng, duy trì và phát huy vai trò Tổ CNSCĐ, nghiên cứu đề xuất chính sách hỗ trợ đối với Tổ CNSCĐ.</w:t>
      </w:r>
    </w:p>
    <w:p w:rsidR="00534110" w:rsidRPr="00E32A6B" w:rsidRDefault="00C21688" w:rsidP="0071610F">
      <w:pPr>
        <w:spacing w:before="120" w:line="360" w:lineRule="exact"/>
        <w:ind w:firstLine="709"/>
        <w:jc w:val="both"/>
        <w:rPr>
          <w:sz w:val="28"/>
          <w:szCs w:val="28"/>
        </w:rPr>
      </w:pPr>
      <w:r w:rsidRPr="00E32A6B">
        <w:rPr>
          <w:b/>
          <w:bCs/>
          <w:sz w:val="28"/>
          <w:szCs w:val="28"/>
        </w:rPr>
        <w:t>2. Cơ sở thực tiễn</w:t>
      </w:r>
    </w:p>
    <w:p w:rsidR="00534110" w:rsidRPr="00E32A6B" w:rsidRDefault="00D87555" w:rsidP="0071610F">
      <w:pPr>
        <w:spacing w:before="120" w:line="360" w:lineRule="exact"/>
        <w:ind w:firstLine="709"/>
        <w:jc w:val="both"/>
        <w:rPr>
          <w:sz w:val="28"/>
          <w:szCs w:val="28"/>
        </w:rPr>
      </w:pPr>
      <w:r w:rsidRPr="00E32A6B">
        <w:rPr>
          <w:sz w:val="28"/>
          <w:szCs w:val="28"/>
        </w:rPr>
        <w:t>Triển khai Kế hoạch 02-KH/BCĐTW ngày 19/6/2025, Sở Khoa học và Công nghệ đã ban hành Công văn số 2165/SKHCN-CĐS và Công văn số 2675/SKHCN-CĐS ngày 06/8/2025 đề nghị UBND các xã, phường rà soát, kiện toàn Tổ CNSCĐ phù hợp với mô hình chính quyền địa phương 02 cấp. Theo Báo cáo số 181/BC-SKHCN ngày 14/01/2026 gửi Cục Chuyển đổi số quốc gia, Bộ Khoa học và Công nghệ, tính đến thời điểm đó 40/40 xã, phường đã thành lập Tổ CNSCĐ tại 100% thôn, tổ dân phố với tổng số 1.161 tổ và 31.807 thành viên.</w:t>
      </w:r>
    </w:p>
    <w:p w:rsidR="00534110" w:rsidRPr="00E32A6B" w:rsidRDefault="00D87555" w:rsidP="0071610F">
      <w:pPr>
        <w:spacing w:before="120" w:line="360" w:lineRule="exact"/>
        <w:ind w:firstLine="709"/>
        <w:jc w:val="both"/>
        <w:rPr>
          <w:sz w:val="28"/>
          <w:szCs w:val="28"/>
        </w:rPr>
      </w:pPr>
      <w:r w:rsidRPr="00E32A6B">
        <w:rPr>
          <w:sz w:val="28"/>
          <w:szCs w:val="28"/>
        </w:rPr>
        <w:t xml:space="preserve">Tiếp đó, thực hiện Quyết định số 758/QĐ-TTg ngày 14/4/2025 của Thủ tướng Chính phủ về sắp xếp, tổ chức lại thôn, tổ dân phố, UBND thành phố đã </w:t>
      </w:r>
      <w:r w:rsidRPr="00E32A6B">
        <w:rPr>
          <w:sz w:val="28"/>
          <w:szCs w:val="28"/>
        </w:rPr>
        <w:lastRenderedPageBreak/>
        <w:t>ban hành Quyết định số 1909/QĐ-UBND ngày 10/6/2026 quy định danh sách 589 thôn, tổ dân phố sau sắp xếp (giảm khoảng 47% so với trước) và Công văn số 10556/UBND-TTr ngày 15/7/2026 chỉ đạo ki</w:t>
      </w:r>
      <w:r w:rsidR="00C1283F" w:rsidRPr="00E32A6B">
        <w:rPr>
          <w:sz w:val="28"/>
          <w:szCs w:val="28"/>
        </w:rPr>
        <w:t xml:space="preserve">ện toàn lại Tổ CNSCĐ tương ứng. Kết quả </w:t>
      </w:r>
      <w:r w:rsidR="00C1283F" w:rsidRPr="00E32A6B">
        <w:rPr>
          <w:bCs/>
          <w:sz w:val="28"/>
          <w:szCs w:val="28"/>
        </w:rPr>
        <w:t>thành lập</w:t>
      </w:r>
      <w:r w:rsidRPr="00E32A6B">
        <w:rPr>
          <w:bCs/>
          <w:sz w:val="28"/>
          <w:szCs w:val="28"/>
        </w:rPr>
        <w:t xml:space="preserve"> 589 Tổ CNSCĐ </w:t>
      </w:r>
      <w:r w:rsidR="00C1283F" w:rsidRPr="00E32A6B">
        <w:rPr>
          <w:bCs/>
          <w:sz w:val="28"/>
          <w:szCs w:val="28"/>
        </w:rPr>
        <w:t>với 6.378 thành viên.</w:t>
      </w:r>
    </w:p>
    <w:p w:rsidR="00534110" w:rsidRPr="00E32A6B" w:rsidRDefault="00D87555" w:rsidP="0071610F">
      <w:pPr>
        <w:spacing w:before="120" w:line="360" w:lineRule="exact"/>
        <w:ind w:firstLine="709"/>
        <w:jc w:val="both"/>
        <w:rPr>
          <w:sz w:val="28"/>
          <w:szCs w:val="28"/>
        </w:rPr>
      </w:pPr>
      <w:r w:rsidRPr="00E32A6B">
        <w:rPr>
          <w:sz w:val="28"/>
          <w:szCs w:val="28"/>
        </w:rPr>
        <w:t>Qua tham khảo Nghị quyết hỗ trợ Tổ CNSCĐ của các tỉnh, thành phố khác, mức phổ biến nhất hiện nay là 700.000 - 1.500.000 đồng/tổ/tháng; riêng Đà Nẵng (300.000đ/tổ/tháng). Đây là cơ sở thực tiễn để thành phố Huế tham khảo, xây dựng mức hỗ trợ phù hợp</w:t>
      </w:r>
      <w:r w:rsidR="00D04044">
        <w:rPr>
          <w:sz w:val="28"/>
          <w:szCs w:val="28"/>
        </w:rPr>
        <w:t>.</w:t>
      </w:r>
      <w:bookmarkStart w:id="2" w:name="_GoBack"/>
      <w:bookmarkEnd w:id="2"/>
    </w:p>
    <w:p w:rsidR="00262B78" w:rsidRPr="00E32A6B" w:rsidRDefault="00262B78" w:rsidP="00262B78">
      <w:pPr>
        <w:spacing w:before="120"/>
        <w:ind w:firstLine="720"/>
        <w:jc w:val="both"/>
        <w:rPr>
          <w:sz w:val="28"/>
          <w:szCs w:val="28"/>
        </w:rPr>
      </w:pPr>
      <w:r w:rsidRPr="00E32A6B">
        <w:rPr>
          <w:sz w:val="28"/>
          <w:szCs w:val="28"/>
        </w:rPr>
        <w:t xml:space="preserve">Tổ CNSCĐ là lực lượng mang tính huy động sức mạnh toàn dân, ở gần dân, sát dân và là cánh tay nối dài của Ban Chỉ đạo chuyển đổi số từ thành phố đến xã, phường, thôn, tổ. </w:t>
      </w:r>
      <w:r w:rsidRPr="00E32A6B">
        <w:rPr>
          <w:sz w:val="28"/>
          <w:szCs w:val="28"/>
          <w:shd w:val="clear" w:color="auto" w:fill="FFFFFF"/>
        </w:rPr>
        <w:t>Đây được xem là cách làm hiệu quả nhất để thay đổi nhận thức về chuyển đổi số của mỗi người dân</w:t>
      </w:r>
      <w:r w:rsidRPr="00E32A6B">
        <w:rPr>
          <w:bCs/>
          <w:sz w:val="28"/>
          <w:szCs w:val="28"/>
          <w:shd w:val="clear" w:color="auto" w:fill="FFFFFF"/>
        </w:rPr>
        <w:t xml:space="preserve"> và giúp người dân tương tác với chính quyền, góp phần quan trọng thúc đẩy chuyển đổi số từ cấp cơ sở và tạo ra các công dân số.</w:t>
      </w:r>
      <w:r w:rsidRPr="00E32A6B">
        <w:rPr>
          <w:sz w:val="28"/>
          <w:szCs w:val="28"/>
        </w:rPr>
        <w:t xml:space="preserve"> Một số nhiệm vụ chính Tổ CNSCĐ đã triển khai trong thời gian qua: Hướng dẫn người dân sử dụng các ứng dụng số như định danh điện tử (VNeID), Sử dụng dịch vụ công trực tuyến; Đăng ký và mở tài khoản thanh toán số để thanh toán không dùng tiền mặt; Mua bán trên sàn thương mại điện tử; Sử dụng một số nền tảng số, ứng dụng số phổ biến của Việt Nam và của thành phố (nền tảng Hue-S); Kỹ năng sử dụng phần mềm đảm bảo an toàn thông tin mạng cơ bản; Kỹ năng học tập trên nền tảng One Touch tích hợp trên Hue-S…, góp phần lan tỏa Phong trào "Bình dân học vụ số". Tuy nhiên, thành viên Tổ chủ yếu kiêm nhiệm, phần lớn dùng thiết bị cá nhân; chế độ, chính sách hỗ trợ đối với các Tổ CNSCĐ trên địa bàn hiện chủ yếu do ngân sách địa phương chi trả để phục vụ tài liệu, nước uống cho các buổi họp, tập huấn nội bộ; mức hỗ trợ này còn thấp, chưa tương xứng với khối lượng công việc và thời gian đóng góp của các thành viên. Các chi phí thiết yếu cho hoạt động như xăng xe đi lại, điện thoại liên lạc, mua sắm thiết bị hỗ trợ...các thành viên Tổ phải tự chi trả.</w:t>
      </w:r>
    </w:p>
    <w:p w:rsidR="00534110" w:rsidRPr="00E32A6B" w:rsidRDefault="00D87555" w:rsidP="0071610F">
      <w:pPr>
        <w:spacing w:before="120" w:line="360" w:lineRule="exact"/>
        <w:ind w:firstLine="709"/>
        <w:jc w:val="both"/>
        <w:rPr>
          <w:sz w:val="28"/>
          <w:szCs w:val="28"/>
        </w:rPr>
      </w:pPr>
      <w:r w:rsidRPr="00E32A6B">
        <w:rPr>
          <w:sz w:val="28"/>
          <w:szCs w:val="28"/>
        </w:rPr>
        <w:t>Từ căn cứ pháp lý và thực tiễn nêu trên, việc Ủy ban nhân dân thành phố trình Hội đồng nhân dân thành phố ban hành Nghị quyết quy định mức hỗ trợ đối với Tổ Công nghệ số cộng đồng trên địa bàn thành phố Huế là cần thiết.</w:t>
      </w:r>
    </w:p>
    <w:p w:rsidR="00534110" w:rsidRPr="00E32A6B" w:rsidRDefault="00D87555" w:rsidP="0071610F">
      <w:pPr>
        <w:spacing w:before="120" w:line="360" w:lineRule="exact"/>
        <w:ind w:firstLine="709"/>
        <w:rPr>
          <w:sz w:val="28"/>
          <w:szCs w:val="28"/>
        </w:rPr>
      </w:pPr>
      <w:r w:rsidRPr="00E32A6B">
        <w:rPr>
          <w:b/>
          <w:bCs/>
          <w:caps/>
          <w:sz w:val="28"/>
          <w:szCs w:val="28"/>
        </w:rPr>
        <w:t>II. MỤC ĐÍCH BAN HÀNH, QUAN ĐIỂM XÂY DỰNG DỰ THẢO NGHỊ QUYẾT</w:t>
      </w:r>
    </w:p>
    <w:p w:rsidR="00534110" w:rsidRPr="00E32A6B" w:rsidRDefault="00D87555" w:rsidP="0071610F">
      <w:pPr>
        <w:spacing w:before="120" w:line="360" w:lineRule="exact"/>
        <w:ind w:firstLine="709"/>
        <w:jc w:val="both"/>
        <w:rPr>
          <w:sz w:val="28"/>
          <w:szCs w:val="28"/>
        </w:rPr>
      </w:pPr>
      <w:r w:rsidRPr="00E32A6B">
        <w:rPr>
          <w:b/>
          <w:bCs/>
          <w:sz w:val="28"/>
          <w:szCs w:val="28"/>
        </w:rPr>
        <w:t>1. Mục đích ban hành Nghị quyết</w:t>
      </w:r>
    </w:p>
    <w:p w:rsidR="00091AFB" w:rsidRPr="00E32A6B" w:rsidRDefault="00091AFB" w:rsidP="00091AFB">
      <w:pPr>
        <w:spacing w:before="120"/>
        <w:ind w:firstLine="567"/>
        <w:jc w:val="both"/>
        <w:rPr>
          <w:sz w:val="28"/>
          <w:szCs w:val="28"/>
        </w:rPr>
      </w:pPr>
      <w:r w:rsidRPr="00E32A6B">
        <w:rPr>
          <w:sz w:val="28"/>
          <w:szCs w:val="28"/>
        </w:rPr>
        <w:t>Nghị quyết được ban hành nhằm quy định mức chi hỗ trợ đối với Tổ Công nghệ số cộng đồng trên địa bàn thành phố Huế, tạo cơ sở pháp lý để bố trí kinh phí từ ngân sách nhà nước; bảo đảm điều kiện hoạt động, khuyến khích và phát huy vai trò của Tổ Công nghệ số cộng đồng trong triển khai các nhiệm vụ chuyển đổi số tại cơ sở.</w:t>
      </w:r>
    </w:p>
    <w:p w:rsidR="00534110" w:rsidRPr="00E32A6B" w:rsidRDefault="00D87555" w:rsidP="0071610F">
      <w:pPr>
        <w:spacing w:before="120" w:line="360" w:lineRule="exact"/>
        <w:ind w:firstLine="709"/>
        <w:jc w:val="both"/>
        <w:rPr>
          <w:sz w:val="28"/>
          <w:szCs w:val="28"/>
        </w:rPr>
      </w:pPr>
      <w:r w:rsidRPr="00E32A6B">
        <w:rPr>
          <w:b/>
          <w:bCs/>
          <w:sz w:val="28"/>
          <w:szCs w:val="28"/>
        </w:rPr>
        <w:t>2. Quan điểm xây dựng</w:t>
      </w:r>
      <w:r w:rsidRPr="00E32A6B">
        <w:rPr>
          <w:b/>
          <w:sz w:val="28"/>
          <w:szCs w:val="28"/>
          <w:lang w:val="nl-NL"/>
        </w:rPr>
        <w:t xml:space="preserve"> dự thảo Nghị quyết</w:t>
      </w:r>
    </w:p>
    <w:p w:rsidR="00091AFB" w:rsidRPr="00E32A6B" w:rsidRDefault="00091AFB" w:rsidP="00091AFB">
      <w:pPr>
        <w:spacing w:before="120"/>
        <w:ind w:firstLine="567"/>
        <w:jc w:val="both"/>
        <w:rPr>
          <w:spacing w:val="2"/>
          <w:sz w:val="28"/>
          <w:szCs w:val="28"/>
          <w:lang w:val="nl-NL"/>
        </w:rPr>
      </w:pPr>
      <w:r w:rsidRPr="00E32A6B">
        <w:rPr>
          <w:spacing w:val="2"/>
          <w:sz w:val="28"/>
          <w:szCs w:val="28"/>
          <w:lang w:val="nl-NL"/>
        </w:rPr>
        <w:lastRenderedPageBreak/>
        <w:t xml:space="preserve">Dự thảo Nghị quyết được xây dựng đảm bảo đúng thẩm quyền và theo đúng trình tự, thủ tục quy định của Luật Ban hành văn bản quy phạm pháp luật ngày 19 tháng 02 năm 2025 và Luật sửa đổi, bổ sung một số điều của Luật Ban hành văn bản quy phạm pháp luật ngày 25 tháng 6 năm 2025; </w:t>
      </w:r>
      <w:r w:rsidRPr="00E32A6B">
        <w:rPr>
          <w:rFonts w:eastAsia="MS Mincho"/>
          <w:spacing w:val="2"/>
          <w:sz w:val="28"/>
          <w:szCs w:val="28"/>
          <w:lang w:val="nl-NL"/>
        </w:rPr>
        <w:t xml:space="preserve">phù hợp với tình hình thực tiễn của thành phố Huế </w:t>
      </w:r>
      <w:r w:rsidRPr="00E32A6B">
        <w:rPr>
          <w:spacing w:val="2"/>
          <w:sz w:val="28"/>
          <w:szCs w:val="28"/>
          <w:lang w:val="nl-NL"/>
        </w:rPr>
        <w:t>khi chuyển sang thực hiện mô hình chính quyền địa phương 2 cấp; bảo đảm tính khả thi, hiệu quả và tiết kiệm ngân sách.</w:t>
      </w:r>
    </w:p>
    <w:p w:rsidR="00534110" w:rsidRPr="00E32A6B" w:rsidRDefault="00D87555" w:rsidP="0071610F">
      <w:pPr>
        <w:spacing w:before="120" w:line="360" w:lineRule="exact"/>
        <w:ind w:firstLine="709"/>
        <w:rPr>
          <w:sz w:val="28"/>
          <w:szCs w:val="28"/>
        </w:rPr>
      </w:pPr>
      <w:r w:rsidRPr="00E32A6B">
        <w:rPr>
          <w:b/>
          <w:bCs/>
          <w:caps/>
          <w:sz w:val="28"/>
          <w:szCs w:val="28"/>
        </w:rPr>
        <w:t>III. QUÁ TRÌNH XÂY DỰNG DỰ THẢO NGHỊ QUYẾT</w:t>
      </w:r>
    </w:p>
    <w:p w:rsidR="00534110" w:rsidRPr="00E32A6B" w:rsidRDefault="00D87555" w:rsidP="0071610F">
      <w:pPr>
        <w:spacing w:before="120" w:line="360" w:lineRule="exact"/>
        <w:ind w:firstLine="709"/>
        <w:jc w:val="both"/>
        <w:rPr>
          <w:sz w:val="28"/>
          <w:szCs w:val="28"/>
        </w:rPr>
      </w:pPr>
      <w:r w:rsidRPr="00E32A6B">
        <w:rPr>
          <w:sz w:val="28"/>
          <w:szCs w:val="28"/>
        </w:rPr>
        <w:t xml:space="preserve">- Thực hiện Kế hoạch số 04/KH-TT.HĐND ngày 09/01/2026 của Thường trực HĐND thành phố, Sở Khoa học và Công nghệ có Báo cáo số 314/BC-SKHCN ngày 20/01/2026 đề nghị xây dựng Nghị quyết (nêu cơ sở pháp lý, thực tiễn, 06 tỉnh, thành đã ban hành chính sách tương tự tại thời điểm đó, dự kiến nội dung, nguồn lực); được Thường trực HĐND thành phố chấp thuận tại Nghị quyết số 01/NQ-TT.HĐND ngày 23/01/2026 (chương trình xây dựng </w:t>
      </w:r>
      <w:r w:rsidR="001F5AC6" w:rsidRPr="00E32A6B">
        <w:rPr>
          <w:sz w:val="28"/>
          <w:szCs w:val="28"/>
        </w:rPr>
        <w:t>N</w:t>
      </w:r>
      <w:r w:rsidRPr="00E32A6B">
        <w:rPr>
          <w:sz w:val="28"/>
          <w:szCs w:val="28"/>
        </w:rPr>
        <w:t>ghị quyết năm 2026, đợt 2).</w:t>
      </w:r>
    </w:p>
    <w:p w:rsidR="00534110" w:rsidRPr="00E32A6B" w:rsidRDefault="00D87555" w:rsidP="0071610F">
      <w:pPr>
        <w:spacing w:before="120" w:line="360" w:lineRule="exact"/>
        <w:ind w:firstLine="709"/>
        <w:jc w:val="both"/>
        <w:rPr>
          <w:sz w:val="28"/>
          <w:szCs w:val="28"/>
        </w:rPr>
      </w:pPr>
      <w:r w:rsidRPr="00E32A6B">
        <w:rPr>
          <w:sz w:val="28"/>
          <w:szCs w:val="28"/>
        </w:rPr>
        <w:t>- Sở Khoa học và Công nghệ lấy ý kiến các sở, ban, ngành và UBND 40 xã, phường tại Công văn số 522/SKHCN-CĐS ngày 31/01/2026 (hạn góp ý 08/02/2026); đăng thông báo lấy ý kiến rộng rãi trên Cổng thông tin điện tử thành phố tại Công văn số 620/SKHCN-CĐS ngày 05/02/2026.</w:t>
      </w:r>
    </w:p>
    <w:p w:rsidR="00534110" w:rsidRPr="00E32A6B" w:rsidRDefault="00D87555" w:rsidP="0071610F">
      <w:pPr>
        <w:spacing w:before="120" w:line="360" w:lineRule="exact"/>
        <w:ind w:firstLine="709"/>
        <w:jc w:val="both"/>
        <w:rPr>
          <w:sz w:val="28"/>
          <w:szCs w:val="28"/>
        </w:rPr>
      </w:pPr>
      <w:r w:rsidRPr="00E32A6B">
        <w:rPr>
          <w:sz w:val="28"/>
          <w:szCs w:val="28"/>
        </w:rPr>
        <w:t>- Đã nhận được ý kiến góp ý bằng văn bản của Sở Tư pháp (Công văn số 456/STP-XDKTVBQPPL ngày 05/02/2026), Sở Tài chính (Công văn số 1260/STC-HCSN), Văn phòng UBND thành phố (Công văn số 209/VPUB-KH ngày 11/02/2026) và UBND xã Quảng Điền; nội dung tiếp thu, giải trình chi tiết tại Báo cáo giải trình việc tiếp thu, chỉnh sửa ý kiến góp ý kèm theo.</w:t>
      </w:r>
    </w:p>
    <w:p w:rsidR="00534110" w:rsidRPr="00E32A6B" w:rsidRDefault="00D87555" w:rsidP="0071610F">
      <w:pPr>
        <w:spacing w:before="120" w:line="360" w:lineRule="exact"/>
        <w:ind w:firstLine="709"/>
        <w:jc w:val="both"/>
        <w:rPr>
          <w:sz w:val="28"/>
          <w:szCs w:val="28"/>
        </w:rPr>
      </w:pPr>
      <w:r w:rsidRPr="00E32A6B">
        <w:rPr>
          <w:sz w:val="28"/>
          <w:szCs w:val="28"/>
        </w:rPr>
        <w:t>- Do việc sắp xếp lại thôn, tổ dân phố (Quyết định số 758/QĐ-TTg) và chỉ tiêu DTI về tỷ lệ thành viên Tổ CNSCĐ/dân số chưa có hướng dẫn chính thức, UBND thành phố đã có Công văn số 3733/UBND-KH ngày 17/3/2026 đề nghị và được Thường trực HĐND thành phố thống nhất lùi thời gian trình từ Quý I sang Quý III/2026.</w:t>
      </w:r>
    </w:p>
    <w:p w:rsidR="00534110" w:rsidRPr="00E32A6B" w:rsidRDefault="00D87555" w:rsidP="0071610F">
      <w:pPr>
        <w:spacing w:before="120" w:line="360" w:lineRule="exact"/>
        <w:ind w:firstLine="709"/>
        <w:jc w:val="both"/>
        <w:rPr>
          <w:sz w:val="28"/>
          <w:szCs w:val="28"/>
        </w:rPr>
      </w:pPr>
      <w:r w:rsidRPr="00E32A6B">
        <w:rPr>
          <w:sz w:val="28"/>
          <w:szCs w:val="28"/>
        </w:rPr>
        <w:t>- Sau khi Chính phủ ban hành Nghị định số 224/2026/NĐ-CP (24/6/2026) và UBND thành phố hoàn thành kiện toàn Tổ CNSCĐ theo 589 thôn, tổ dân phố mới (Công văn 10556/UBND-TTr ngày 15/7/2026, số liệu chính thức đến nay: 589 tổ, 6.378 thành viên), Sở Khoa học và Công nghệ đã hoàn chỉnh dự thảo Tờ trình, Nghị quyết trên cơ sở số liệu chính thức, gửi lấy ý kiến lần 2 các cơ quan, đơn vị liên quan trước khi trình Ủy ban nhân dân thành phố xem xét, trình Hội đồng nhân dân thành phố.</w:t>
      </w:r>
    </w:p>
    <w:p w:rsidR="00534110" w:rsidRPr="00E32A6B" w:rsidRDefault="00D87555" w:rsidP="0071610F">
      <w:pPr>
        <w:spacing w:before="120" w:line="360" w:lineRule="exact"/>
        <w:ind w:firstLine="709"/>
        <w:rPr>
          <w:sz w:val="28"/>
          <w:szCs w:val="28"/>
        </w:rPr>
      </w:pPr>
      <w:r w:rsidRPr="00E32A6B">
        <w:rPr>
          <w:b/>
          <w:bCs/>
          <w:caps/>
          <w:sz w:val="28"/>
          <w:szCs w:val="28"/>
        </w:rPr>
        <w:t>IV. BỐ CỤC VÀ NỘI DUNG CƠ BẢN CỦA DỰ THẢO NGHỊ QUYẾT</w:t>
      </w:r>
    </w:p>
    <w:p w:rsidR="00534110" w:rsidRPr="00E32A6B" w:rsidRDefault="00D87555" w:rsidP="0071610F">
      <w:pPr>
        <w:spacing w:before="120" w:line="360" w:lineRule="exact"/>
        <w:ind w:firstLine="709"/>
        <w:jc w:val="both"/>
        <w:rPr>
          <w:sz w:val="28"/>
          <w:szCs w:val="28"/>
        </w:rPr>
      </w:pPr>
      <w:r w:rsidRPr="00E32A6B">
        <w:rPr>
          <w:b/>
          <w:bCs/>
          <w:sz w:val="28"/>
          <w:szCs w:val="28"/>
        </w:rPr>
        <w:lastRenderedPageBreak/>
        <w:t>1. Phạm vi điều chỉnh và đối tượng áp dụng</w:t>
      </w:r>
    </w:p>
    <w:p w:rsidR="00A941DE" w:rsidRPr="00E32A6B" w:rsidRDefault="00A941DE" w:rsidP="0071610F">
      <w:pPr>
        <w:spacing w:before="120" w:line="360" w:lineRule="exact"/>
        <w:ind w:firstLine="709"/>
        <w:jc w:val="both"/>
        <w:rPr>
          <w:b/>
          <w:i/>
          <w:sz w:val="28"/>
          <w:szCs w:val="28"/>
          <w:lang w:val="nl-NL"/>
        </w:rPr>
      </w:pPr>
      <w:r w:rsidRPr="00E32A6B">
        <w:rPr>
          <w:b/>
          <w:i/>
          <w:sz w:val="28"/>
          <w:szCs w:val="28"/>
          <w:lang w:val="nl-NL"/>
        </w:rPr>
        <w:t xml:space="preserve">1.1. Phạm vi điều chỉnh: </w:t>
      </w:r>
    </w:p>
    <w:p w:rsidR="00E32A6B" w:rsidRPr="00E32A6B" w:rsidRDefault="00E32A6B" w:rsidP="00E32A6B">
      <w:pPr>
        <w:spacing w:before="120" w:after="120"/>
        <w:ind w:firstLine="567"/>
        <w:jc w:val="both"/>
        <w:rPr>
          <w:sz w:val="28"/>
          <w:szCs w:val="28"/>
        </w:rPr>
      </w:pPr>
      <w:r w:rsidRPr="00E32A6B">
        <w:rPr>
          <w:sz w:val="28"/>
          <w:szCs w:val="28"/>
        </w:rPr>
        <w:t>Nghị quyết này quy định nội dung và mức hỗ trợ đối với Tổ Công nghệ số cộng đồng và thành viên Tổ Công nghệ số cộng đồng trên địa bàn thành phố Huế theo quy định tại điểm m khoản 7 Điều 3 Thông tư số 39/2026/TT-BKHCN quy định lập và quản lý chi phí trong hoạt động đầu tư, mua sắm, thuê dịch vụ cho chuyển đổi số sử dụng ngân sách nhà nước.</w:t>
      </w:r>
    </w:p>
    <w:p w:rsidR="00A941DE" w:rsidRPr="00E32A6B" w:rsidRDefault="00A941DE" w:rsidP="0071610F">
      <w:pPr>
        <w:spacing w:before="120" w:line="360" w:lineRule="exact"/>
        <w:ind w:firstLine="709"/>
        <w:jc w:val="both"/>
        <w:rPr>
          <w:b/>
          <w:i/>
          <w:sz w:val="28"/>
          <w:szCs w:val="28"/>
          <w:lang w:val="nl-NL"/>
        </w:rPr>
      </w:pPr>
      <w:r w:rsidRPr="00E32A6B">
        <w:rPr>
          <w:b/>
          <w:i/>
          <w:sz w:val="28"/>
          <w:szCs w:val="28"/>
          <w:lang w:val="nl-NL"/>
        </w:rPr>
        <w:t xml:space="preserve">1.2. Đối tượng áp dụng: </w:t>
      </w:r>
    </w:p>
    <w:p w:rsidR="00834CD9" w:rsidRPr="00E32A6B" w:rsidRDefault="00834CD9" w:rsidP="00834CD9">
      <w:pPr>
        <w:spacing w:before="120" w:line="360" w:lineRule="exact"/>
        <w:ind w:firstLine="709"/>
        <w:jc w:val="both"/>
        <w:rPr>
          <w:strike/>
          <w:sz w:val="28"/>
          <w:szCs w:val="28"/>
          <w:lang w:val="nl-NL"/>
        </w:rPr>
      </w:pPr>
      <w:r w:rsidRPr="00E32A6B">
        <w:rPr>
          <w:sz w:val="28"/>
          <w:szCs w:val="28"/>
          <w:lang w:val="nl-NL"/>
        </w:rPr>
        <w:t>a) Tổ</w:t>
      </w:r>
      <w:r w:rsidR="00013073" w:rsidRPr="00E32A6B">
        <w:rPr>
          <w:sz w:val="28"/>
          <w:szCs w:val="28"/>
          <w:lang w:val="nl-NL"/>
        </w:rPr>
        <w:t xml:space="preserve"> Công nghệ số cộng đồng;</w:t>
      </w:r>
    </w:p>
    <w:p w:rsidR="00834CD9" w:rsidRPr="00E32A6B" w:rsidRDefault="00834CD9" w:rsidP="00834CD9">
      <w:pPr>
        <w:spacing w:before="120" w:line="360" w:lineRule="exact"/>
        <w:ind w:firstLine="709"/>
        <w:jc w:val="both"/>
        <w:rPr>
          <w:sz w:val="28"/>
          <w:szCs w:val="28"/>
          <w:lang w:val="nl-NL"/>
        </w:rPr>
      </w:pPr>
      <w:r w:rsidRPr="00E32A6B">
        <w:rPr>
          <w:sz w:val="28"/>
          <w:szCs w:val="28"/>
          <w:lang w:val="nl-NL"/>
        </w:rPr>
        <w:t>b) Thành viên Tổ Công nghệ số cộng đồng;</w:t>
      </w:r>
    </w:p>
    <w:p w:rsidR="00834CD9" w:rsidRPr="00E32A6B" w:rsidRDefault="00834CD9" w:rsidP="00834CD9">
      <w:pPr>
        <w:spacing w:before="120" w:line="360" w:lineRule="exact"/>
        <w:ind w:firstLine="709"/>
        <w:jc w:val="both"/>
        <w:rPr>
          <w:sz w:val="28"/>
          <w:szCs w:val="28"/>
          <w:lang w:val="nl-NL"/>
        </w:rPr>
      </w:pPr>
      <w:r w:rsidRPr="00E32A6B">
        <w:rPr>
          <w:sz w:val="28"/>
          <w:szCs w:val="28"/>
          <w:lang w:val="nl-NL"/>
        </w:rPr>
        <w:t>c) Các cơ quan, tổ chức, cá nhân khác có liên quan.</w:t>
      </w:r>
    </w:p>
    <w:p w:rsidR="00534110" w:rsidRPr="00E32A6B" w:rsidRDefault="00D87555" w:rsidP="00834CD9">
      <w:pPr>
        <w:spacing w:before="120" w:line="360" w:lineRule="exact"/>
        <w:ind w:firstLine="709"/>
        <w:jc w:val="both"/>
        <w:rPr>
          <w:sz w:val="28"/>
          <w:szCs w:val="28"/>
        </w:rPr>
      </w:pPr>
      <w:r w:rsidRPr="00E32A6B">
        <w:rPr>
          <w:b/>
          <w:bCs/>
          <w:sz w:val="28"/>
          <w:szCs w:val="28"/>
        </w:rPr>
        <w:t>2. Bố cục dự thảo Nghị quyết</w:t>
      </w:r>
    </w:p>
    <w:p w:rsidR="00800416" w:rsidRPr="00E32A6B" w:rsidRDefault="00800416" w:rsidP="00800416">
      <w:pPr>
        <w:spacing w:before="120" w:line="360" w:lineRule="exact"/>
        <w:ind w:firstLine="709"/>
        <w:jc w:val="both"/>
        <w:rPr>
          <w:sz w:val="28"/>
          <w:szCs w:val="28"/>
        </w:rPr>
      </w:pPr>
      <w:r w:rsidRPr="00E32A6B">
        <w:rPr>
          <w:b/>
          <w:sz w:val="28"/>
          <w:szCs w:val="28"/>
        </w:rPr>
        <w:t>Điều 1.</w:t>
      </w:r>
      <w:r w:rsidRPr="00E32A6B">
        <w:rPr>
          <w:sz w:val="28"/>
          <w:szCs w:val="28"/>
        </w:rPr>
        <w:t xml:space="preserve"> Phạm vi điều chỉnh và đối tượng áp dụng</w:t>
      </w:r>
    </w:p>
    <w:p w:rsidR="006554E2" w:rsidRPr="00E32A6B" w:rsidRDefault="006554E2" w:rsidP="006554E2">
      <w:pPr>
        <w:spacing w:before="120" w:after="120"/>
        <w:ind w:firstLine="709"/>
        <w:jc w:val="both"/>
        <w:rPr>
          <w:sz w:val="28"/>
          <w:szCs w:val="28"/>
        </w:rPr>
      </w:pPr>
      <w:r w:rsidRPr="00E32A6B">
        <w:rPr>
          <w:b/>
          <w:bCs/>
          <w:sz w:val="28"/>
          <w:szCs w:val="28"/>
        </w:rPr>
        <w:t xml:space="preserve">Điều 2. </w:t>
      </w:r>
      <w:r w:rsidRPr="00E32A6B">
        <w:rPr>
          <w:bCs/>
          <w:sz w:val="28"/>
          <w:szCs w:val="28"/>
        </w:rPr>
        <w:t xml:space="preserve">Điều </w:t>
      </w:r>
      <w:r w:rsidR="002902F8">
        <w:rPr>
          <w:bCs/>
          <w:sz w:val="28"/>
          <w:szCs w:val="28"/>
        </w:rPr>
        <w:t xml:space="preserve">kiện </w:t>
      </w:r>
      <w:r w:rsidRPr="00E32A6B">
        <w:rPr>
          <w:bCs/>
          <w:sz w:val="28"/>
          <w:szCs w:val="28"/>
        </w:rPr>
        <w:t>hỗ trợ</w:t>
      </w:r>
      <w:r w:rsidRPr="00E32A6B">
        <w:rPr>
          <w:b/>
          <w:bCs/>
          <w:sz w:val="28"/>
          <w:szCs w:val="28"/>
        </w:rPr>
        <w:t xml:space="preserve"> </w:t>
      </w:r>
    </w:p>
    <w:p w:rsidR="00800416" w:rsidRPr="00E32A6B" w:rsidRDefault="00800416" w:rsidP="006554E2">
      <w:pPr>
        <w:tabs>
          <w:tab w:val="left" w:pos="1875"/>
        </w:tabs>
        <w:spacing w:before="120" w:line="360" w:lineRule="exact"/>
        <w:ind w:firstLine="709"/>
        <w:jc w:val="both"/>
        <w:rPr>
          <w:sz w:val="28"/>
          <w:szCs w:val="28"/>
        </w:rPr>
      </w:pPr>
      <w:r w:rsidRPr="00E32A6B">
        <w:rPr>
          <w:b/>
          <w:sz w:val="28"/>
          <w:szCs w:val="28"/>
        </w:rPr>
        <w:t xml:space="preserve">Điều </w:t>
      </w:r>
      <w:r w:rsidR="006554E2" w:rsidRPr="00E32A6B">
        <w:rPr>
          <w:b/>
          <w:sz w:val="28"/>
          <w:szCs w:val="28"/>
        </w:rPr>
        <w:t>3</w:t>
      </w:r>
      <w:r w:rsidRPr="00E32A6B">
        <w:rPr>
          <w:b/>
          <w:sz w:val="28"/>
          <w:szCs w:val="28"/>
        </w:rPr>
        <w:t>.</w:t>
      </w:r>
      <w:r w:rsidRPr="00E32A6B">
        <w:rPr>
          <w:sz w:val="28"/>
          <w:szCs w:val="28"/>
        </w:rPr>
        <w:t xml:space="preserve"> Nội dung, mức hỗ trợ</w:t>
      </w:r>
    </w:p>
    <w:p w:rsidR="00800416" w:rsidRPr="00E32A6B" w:rsidRDefault="00800416" w:rsidP="00800416">
      <w:pPr>
        <w:spacing w:before="120" w:line="360" w:lineRule="exact"/>
        <w:ind w:firstLine="709"/>
        <w:jc w:val="both"/>
        <w:rPr>
          <w:sz w:val="28"/>
          <w:szCs w:val="28"/>
        </w:rPr>
      </w:pPr>
      <w:r w:rsidRPr="00E32A6B">
        <w:rPr>
          <w:b/>
          <w:sz w:val="28"/>
          <w:szCs w:val="28"/>
        </w:rPr>
        <w:t xml:space="preserve">Điều </w:t>
      </w:r>
      <w:r w:rsidR="006554E2" w:rsidRPr="00E32A6B">
        <w:rPr>
          <w:b/>
          <w:sz w:val="28"/>
          <w:szCs w:val="28"/>
        </w:rPr>
        <w:t>4</w:t>
      </w:r>
      <w:r w:rsidRPr="00E32A6B">
        <w:rPr>
          <w:b/>
          <w:sz w:val="28"/>
          <w:szCs w:val="28"/>
        </w:rPr>
        <w:t>.</w:t>
      </w:r>
      <w:r w:rsidRPr="00E32A6B">
        <w:rPr>
          <w:sz w:val="28"/>
          <w:szCs w:val="28"/>
        </w:rPr>
        <w:t xml:space="preserve"> Nguồn kinh phí thực hiện</w:t>
      </w:r>
    </w:p>
    <w:p w:rsidR="00800416" w:rsidRPr="00E32A6B" w:rsidRDefault="00800416" w:rsidP="00800416">
      <w:pPr>
        <w:spacing w:before="120" w:line="360" w:lineRule="exact"/>
        <w:ind w:firstLine="709"/>
        <w:jc w:val="both"/>
        <w:rPr>
          <w:sz w:val="28"/>
          <w:szCs w:val="28"/>
        </w:rPr>
      </w:pPr>
      <w:r w:rsidRPr="00E32A6B">
        <w:rPr>
          <w:b/>
          <w:sz w:val="28"/>
          <w:szCs w:val="28"/>
        </w:rPr>
        <w:t xml:space="preserve">Điều </w:t>
      </w:r>
      <w:r w:rsidR="006554E2" w:rsidRPr="00E32A6B">
        <w:rPr>
          <w:b/>
          <w:sz w:val="28"/>
          <w:szCs w:val="28"/>
        </w:rPr>
        <w:t>5</w:t>
      </w:r>
      <w:r w:rsidRPr="00E32A6B">
        <w:rPr>
          <w:b/>
          <w:sz w:val="28"/>
          <w:szCs w:val="28"/>
        </w:rPr>
        <w:t>.</w:t>
      </w:r>
      <w:r w:rsidRPr="00E32A6B">
        <w:rPr>
          <w:sz w:val="28"/>
          <w:szCs w:val="28"/>
        </w:rPr>
        <w:t xml:space="preserve"> Hiệu lực thi hành</w:t>
      </w:r>
    </w:p>
    <w:p w:rsidR="00800416" w:rsidRPr="00E32A6B" w:rsidRDefault="00800416" w:rsidP="00800416">
      <w:pPr>
        <w:spacing w:before="120" w:line="360" w:lineRule="exact"/>
        <w:ind w:firstLine="709"/>
        <w:jc w:val="both"/>
        <w:rPr>
          <w:sz w:val="28"/>
          <w:szCs w:val="28"/>
        </w:rPr>
      </w:pPr>
      <w:r w:rsidRPr="00E32A6B">
        <w:rPr>
          <w:b/>
          <w:sz w:val="28"/>
          <w:szCs w:val="28"/>
        </w:rPr>
        <w:t xml:space="preserve">Điều </w:t>
      </w:r>
      <w:r w:rsidR="006554E2" w:rsidRPr="00E32A6B">
        <w:rPr>
          <w:b/>
          <w:sz w:val="28"/>
          <w:szCs w:val="28"/>
        </w:rPr>
        <w:t>6</w:t>
      </w:r>
      <w:r w:rsidRPr="00E32A6B">
        <w:rPr>
          <w:b/>
          <w:sz w:val="28"/>
          <w:szCs w:val="28"/>
        </w:rPr>
        <w:t>.</w:t>
      </w:r>
      <w:r w:rsidRPr="00E32A6B">
        <w:rPr>
          <w:sz w:val="28"/>
          <w:szCs w:val="28"/>
        </w:rPr>
        <w:t xml:space="preserve"> Tổ chức thực hiện</w:t>
      </w:r>
    </w:p>
    <w:p w:rsidR="00A4445B" w:rsidRDefault="00D87555" w:rsidP="00A4445B">
      <w:pPr>
        <w:spacing w:before="120" w:line="360" w:lineRule="exact"/>
        <w:ind w:firstLine="709"/>
        <w:jc w:val="both"/>
        <w:rPr>
          <w:b/>
          <w:bCs/>
          <w:sz w:val="28"/>
          <w:szCs w:val="28"/>
        </w:rPr>
      </w:pPr>
      <w:r w:rsidRPr="00E32A6B">
        <w:rPr>
          <w:b/>
          <w:bCs/>
          <w:sz w:val="28"/>
          <w:szCs w:val="28"/>
        </w:rPr>
        <w:t>3. Nội dung cơ bản của dự thảo Nghị quyết</w:t>
      </w:r>
    </w:p>
    <w:p w:rsidR="00CF1B50" w:rsidRPr="00E32A6B" w:rsidRDefault="001267D7" w:rsidP="00A4445B">
      <w:pPr>
        <w:spacing w:before="120" w:line="360" w:lineRule="exact"/>
        <w:ind w:firstLine="709"/>
        <w:jc w:val="both"/>
        <w:rPr>
          <w:bCs/>
          <w:sz w:val="28"/>
          <w:szCs w:val="28"/>
        </w:rPr>
      </w:pPr>
      <w:r w:rsidRPr="00E32A6B">
        <w:rPr>
          <w:sz w:val="28"/>
          <w:szCs w:val="28"/>
        </w:rPr>
        <w:t>3.1. Nội dung, mức hỗ trợ gồm 03 nội dung, tương</w:t>
      </w:r>
      <w:r w:rsidR="00A4445B">
        <w:rPr>
          <w:sz w:val="28"/>
          <w:szCs w:val="28"/>
        </w:rPr>
        <w:t xml:space="preserve"> ứng 03 nội dung chi cơ bản tại </w:t>
      </w:r>
      <w:r w:rsidRPr="00E32A6B">
        <w:rPr>
          <w:sz w:val="28"/>
          <w:szCs w:val="28"/>
        </w:rPr>
        <w:t>điểm m khoản 7 Điều 3 Thông tư số 39/2026/TT-BKHCN:</w:t>
      </w:r>
    </w:p>
    <w:p w:rsidR="00DB3540" w:rsidRPr="00E32A6B" w:rsidRDefault="001267D7" w:rsidP="008B49A9">
      <w:pPr>
        <w:spacing w:before="120" w:line="360" w:lineRule="exact"/>
        <w:ind w:firstLine="709"/>
        <w:jc w:val="both"/>
        <w:rPr>
          <w:bCs/>
          <w:sz w:val="28"/>
          <w:szCs w:val="28"/>
        </w:rPr>
      </w:pPr>
      <w:r w:rsidRPr="00E32A6B">
        <w:rPr>
          <w:sz w:val="28"/>
          <w:szCs w:val="28"/>
        </w:rPr>
        <w:t xml:space="preserve">a) Hỗ trợ kinh phí hoạt động chung của Tổ (nội dung m3): </w:t>
      </w:r>
      <w:r w:rsidR="00A4445B">
        <w:rPr>
          <w:sz w:val="28"/>
          <w:szCs w:val="28"/>
        </w:rPr>
        <w:t>200.000 đồng/tổ/tháng</w:t>
      </w:r>
      <w:r w:rsidRPr="00E32A6B">
        <w:rPr>
          <w:sz w:val="28"/>
          <w:szCs w:val="28"/>
        </w:rPr>
        <w:t>. Kinh phí hỗ trợ được sử dụng cho các nội dung hỗ trợ nước uống, văn phòng phẩm, in ấn phục vụ hoạt động chung của Tổ công nghệ số cộng đồng về tuyên truyền, hướng dẫn người dân, doanh nghiệp thực hiện các chỉ tiêu, nhiệm vụ chuyển đổi số của thành phố: Thanh toán thực tế theo chứng từ, hóa đơn theo quy định.</w:t>
      </w:r>
    </w:p>
    <w:p w:rsidR="00DB3540" w:rsidRPr="00E32A6B" w:rsidRDefault="001267D7" w:rsidP="008B49A9">
      <w:pPr>
        <w:spacing w:before="120" w:line="360" w:lineRule="exact"/>
        <w:ind w:firstLine="709"/>
        <w:jc w:val="both"/>
        <w:rPr>
          <w:bCs/>
          <w:sz w:val="28"/>
          <w:szCs w:val="28"/>
        </w:rPr>
      </w:pPr>
      <w:r w:rsidRPr="00E32A6B">
        <w:rPr>
          <w:sz w:val="28"/>
          <w:szCs w:val="28"/>
        </w:rPr>
        <w:t>b) Phụ cấp cho thành viên Tổ Công nghệ số cộng đồng (nội dung m1): 50.000 đồng/người/tháng.</w:t>
      </w:r>
    </w:p>
    <w:p w:rsidR="00DB3540" w:rsidRPr="00E32A6B" w:rsidRDefault="001267D7" w:rsidP="008B49A9">
      <w:pPr>
        <w:spacing w:before="120" w:line="360" w:lineRule="exact"/>
        <w:ind w:firstLine="709"/>
        <w:jc w:val="both"/>
        <w:rPr>
          <w:bCs/>
          <w:sz w:val="28"/>
          <w:szCs w:val="28"/>
        </w:rPr>
      </w:pPr>
      <w:r w:rsidRPr="00E32A6B">
        <w:rPr>
          <w:sz w:val="28"/>
          <w:szCs w:val="28"/>
        </w:rPr>
        <w:t>c) Hỗ trợ chi phí gói cước viễn thông cho thành viên Tổ Công nghệ số cộng đồng (nội dung m2): 50.000 đồng/người/tháng.</w:t>
      </w:r>
    </w:p>
    <w:p w:rsidR="00DB3540" w:rsidRPr="00E32A6B" w:rsidRDefault="001267D7" w:rsidP="008B49A9">
      <w:pPr>
        <w:spacing w:before="120" w:line="360" w:lineRule="exact"/>
        <w:ind w:firstLine="709"/>
        <w:jc w:val="both"/>
        <w:rPr>
          <w:bCs/>
          <w:sz w:val="28"/>
          <w:szCs w:val="28"/>
        </w:rPr>
      </w:pPr>
      <w:r w:rsidRPr="00E32A6B">
        <w:rPr>
          <w:sz w:val="28"/>
          <w:szCs w:val="28"/>
        </w:rPr>
        <w:t xml:space="preserve">Mức hỗ trợ kinh phí hoạt động chung của Tổ (điểm a) được điều chỉnh còn 200.000 đồng/tổ/tháng (giảm so với đề xuất ban đầu 300.000 đồng/tổ/tháng), do đã có khoản hỗ trợ riêng dành cho thành viên. Nội dung m1, m2 (điểm b, c) áp </w:t>
      </w:r>
      <w:r w:rsidRPr="00E32A6B">
        <w:rPr>
          <w:sz w:val="28"/>
          <w:szCs w:val="28"/>
        </w:rPr>
        <w:lastRenderedPageBreak/>
        <w:t xml:space="preserve">dụng cho toàn bộ thành viên Tổ CNSCĐ, đúng theo đối tượng "người tham gia Tổ" quy định tại điểm m khoản 7 Điều 3 Thông tư số 39/2026/TT-BKHCN, đồng thời phản hồi trực tiếp ý kiến của Ủy ban nhân dân xã Quảng Điền (mức khoán theo tổ chia bình quân đầu người quá thấp, không đủ đăng ký gói cước di động). Để quản lý rủi ro phát sinh do số lượng thành viên Tổ có thể biến động, tại Điều </w:t>
      </w:r>
      <w:r w:rsidR="006554E2" w:rsidRPr="00E32A6B">
        <w:rPr>
          <w:sz w:val="28"/>
          <w:szCs w:val="28"/>
        </w:rPr>
        <w:t>6</w:t>
      </w:r>
      <w:r w:rsidRPr="00E32A6B">
        <w:rPr>
          <w:sz w:val="28"/>
          <w:szCs w:val="28"/>
        </w:rPr>
        <w:t xml:space="preserve"> dự thảo Nghị quyết đã bổ sung quy định giao Ủy ban nhân dân thành phố định kỳ hằng năm chỉ đạo rà soát danh sách, số lượng Tổ và thành viên làm căn cứ chi trả hỗ trợ.</w:t>
      </w:r>
    </w:p>
    <w:p w:rsidR="00DB3540" w:rsidRPr="00E32A6B" w:rsidRDefault="00DB3540" w:rsidP="00DB3540">
      <w:pPr>
        <w:spacing w:before="120"/>
        <w:ind w:firstLine="567"/>
        <w:jc w:val="both"/>
        <w:rPr>
          <w:bCs/>
          <w:sz w:val="28"/>
          <w:szCs w:val="28"/>
        </w:rPr>
      </w:pPr>
      <w:r w:rsidRPr="00E32A6B">
        <w:rPr>
          <w:bCs/>
          <w:sz w:val="28"/>
          <w:szCs w:val="28"/>
        </w:rPr>
        <w:t>3.</w:t>
      </w:r>
      <w:r w:rsidR="005327C0">
        <w:rPr>
          <w:bCs/>
          <w:sz w:val="28"/>
          <w:szCs w:val="28"/>
        </w:rPr>
        <w:t>2</w:t>
      </w:r>
      <w:r w:rsidRPr="00E32A6B">
        <w:rPr>
          <w:bCs/>
          <w:sz w:val="28"/>
          <w:szCs w:val="28"/>
        </w:rPr>
        <w:t xml:space="preserve">. </w:t>
      </w:r>
      <w:r w:rsidR="00F504C6" w:rsidRPr="00F504C6">
        <w:rPr>
          <w:bCs/>
          <w:sz w:val="28"/>
          <w:szCs w:val="28"/>
        </w:rPr>
        <w:t>Hiệu lực thi hành: Nghị quyết có hiệu lực kể từ ngày 01/10/2026, không giới hạn thời hạn áp dụng, phù hợp với Thông tư số 39/2026/TT-BKHCN (không quy định giới hạn thời gi</w:t>
      </w:r>
      <w:r w:rsidR="00F504C6">
        <w:rPr>
          <w:bCs/>
          <w:sz w:val="28"/>
          <w:szCs w:val="28"/>
        </w:rPr>
        <w:t>an thực hiện chính sách hỗ trợ)</w:t>
      </w:r>
      <w:r w:rsidRPr="00E32A6B">
        <w:rPr>
          <w:bCs/>
          <w:sz w:val="28"/>
          <w:szCs w:val="28"/>
        </w:rPr>
        <w:t>.</w:t>
      </w:r>
    </w:p>
    <w:p w:rsidR="00534110" w:rsidRPr="00E32A6B" w:rsidRDefault="00E32A6B" w:rsidP="0071610F">
      <w:pPr>
        <w:spacing w:before="120" w:line="360" w:lineRule="exact"/>
        <w:ind w:firstLine="709"/>
        <w:rPr>
          <w:sz w:val="28"/>
          <w:szCs w:val="28"/>
        </w:rPr>
      </w:pPr>
      <w:r w:rsidRPr="00E32A6B">
        <w:rPr>
          <w:b/>
          <w:bCs/>
          <w:sz w:val="28"/>
          <w:szCs w:val="28"/>
        </w:rPr>
        <w:t>V</w:t>
      </w:r>
      <w:r w:rsidR="00D87555" w:rsidRPr="00E32A6B">
        <w:rPr>
          <w:b/>
          <w:bCs/>
          <w:caps/>
          <w:sz w:val="28"/>
          <w:szCs w:val="28"/>
        </w:rPr>
        <w:t>. DỰ KIẾN NGUỒN LỰC, ĐIỀU KIỆN BẢO ĐẢM THI HÀNH VÀ THỜI GIAN TRÌNH</w:t>
      </w:r>
    </w:p>
    <w:p w:rsidR="00872DA8" w:rsidRPr="00E32A6B" w:rsidRDefault="00872DA8" w:rsidP="00872DA8">
      <w:pPr>
        <w:spacing w:before="120" w:line="360" w:lineRule="exact"/>
        <w:ind w:firstLine="709"/>
        <w:jc w:val="both"/>
        <w:rPr>
          <w:b/>
          <w:bCs/>
          <w:sz w:val="28"/>
          <w:szCs w:val="28"/>
        </w:rPr>
      </w:pPr>
      <w:r w:rsidRPr="00E32A6B">
        <w:rPr>
          <w:b/>
          <w:bCs/>
          <w:sz w:val="28"/>
          <w:szCs w:val="28"/>
        </w:rPr>
        <w:t>1. Dự kiến nguồn lực thực hiện</w:t>
      </w:r>
    </w:p>
    <w:p w:rsidR="00C1283F" w:rsidRPr="00E32A6B" w:rsidRDefault="00872DA8" w:rsidP="00872DA8">
      <w:pPr>
        <w:spacing w:before="120" w:line="360" w:lineRule="exact"/>
        <w:ind w:firstLine="709"/>
        <w:jc w:val="both"/>
        <w:rPr>
          <w:bCs/>
          <w:i/>
          <w:sz w:val="28"/>
          <w:szCs w:val="28"/>
        </w:rPr>
      </w:pPr>
      <w:r w:rsidRPr="00E32A6B">
        <w:rPr>
          <w:bCs/>
          <w:i/>
          <w:sz w:val="28"/>
          <w:szCs w:val="28"/>
        </w:rPr>
        <w:t xml:space="preserve">Kinh phí hoạt động chung của Tổ: </w:t>
      </w:r>
    </w:p>
    <w:p w:rsidR="00C1283F" w:rsidRPr="00E32A6B" w:rsidRDefault="00872DA8" w:rsidP="00872DA8">
      <w:pPr>
        <w:spacing w:before="120" w:line="360" w:lineRule="exact"/>
        <w:ind w:firstLine="709"/>
        <w:jc w:val="both"/>
        <w:rPr>
          <w:bCs/>
          <w:sz w:val="28"/>
          <w:szCs w:val="28"/>
        </w:rPr>
      </w:pPr>
      <w:r w:rsidRPr="00E32A6B">
        <w:rPr>
          <w:bCs/>
          <w:sz w:val="28"/>
          <w:szCs w:val="28"/>
        </w:rPr>
        <w:t xml:space="preserve">589 tổ x 200.000 đồng/tổ/tháng x 12 tháng = 1.413.600.000 đồng/năm. </w:t>
      </w:r>
    </w:p>
    <w:p w:rsidR="00C1283F" w:rsidRPr="00E32A6B" w:rsidRDefault="00C1283F" w:rsidP="00872DA8">
      <w:pPr>
        <w:spacing w:before="120" w:line="360" w:lineRule="exact"/>
        <w:ind w:firstLine="709"/>
        <w:jc w:val="both"/>
        <w:rPr>
          <w:bCs/>
          <w:sz w:val="28"/>
          <w:szCs w:val="28"/>
        </w:rPr>
      </w:pPr>
      <w:r w:rsidRPr="00E32A6B">
        <w:rPr>
          <w:bCs/>
          <w:i/>
          <w:sz w:val="28"/>
          <w:szCs w:val="28"/>
        </w:rPr>
        <w:t>Phụ cấp thành viên Tổ:</w:t>
      </w:r>
    </w:p>
    <w:p w:rsidR="00C1283F" w:rsidRPr="00E32A6B" w:rsidRDefault="00872DA8" w:rsidP="00872DA8">
      <w:pPr>
        <w:spacing w:before="120" w:line="360" w:lineRule="exact"/>
        <w:ind w:firstLine="709"/>
        <w:jc w:val="both"/>
        <w:rPr>
          <w:bCs/>
          <w:spacing w:val="-8"/>
          <w:sz w:val="28"/>
          <w:szCs w:val="28"/>
        </w:rPr>
      </w:pPr>
      <w:r w:rsidRPr="00E32A6B">
        <w:rPr>
          <w:bCs/>
          <w:spacing w:val="-8"/>
          <w:sz w:val="28"/>
          <w:szCs w:val="28"/>
        </w:rPr>
        <w:t xml:space="preserve">6.378 người x 50.000 đồng/người/tháng x 12 tháng = 3.826.800.000 đồng/năm. </w:t>
      </w:r>
    </w:p>
    <w:p w:rsidR="00C1283F" w:rsidRPr="00E32A6B" w:rsidRDefault="00872DA8" w:rsidP="00872DA8">
      <w:pPr>
        <w:spacing w:before="120" w:line="360" w:lineRule="exact"/>
        <w:ind w:firstLine="709"/>
        <w:jc w:val="both"/>
        <w:rPr>
          <w:bCs/>
          <w:i/>
          <w:sz w:val="28"/>
          <w:szCs w:val="28"/>
        </w:rPr>
      </w:pPr>
      <w:r w:rsidRPr="00E32A6B">
        <w:rPr>
          <w:bCs/>
          <w:i/>
          <w:sz w:val="28"/>
          <w:szCs w:val="28"/>
        </w:rPr>
        <w:t>Hỗ tr</w:t>
      </w:r>
      <w:r w:rsidR="00C1283F" w:rsidRPr="00E32A6B">
        <w:rPr>
          <w:bCs/>
          <w:i/>
          <w:sz w:val="28"/>
          <w:szCs w:val="28"/>
        </w:rPr>
        <w:t>ợ cước viễn thông thành viên Tổ:</w:t>
      </w:r>
    </w:p>
    <w:p w:rsidR="00C1283F" w:rsidRPr="00E32A6B" w:rsidRDefault="00872DA8" w:rsidP="00872DA8">
      <w:pPr>
        <w:spacing w:before="120" w:line="360" w:lineRule="exact"/>
        <w:ind w:firstLine="709"/>
        <w:jc w:val="both"/>
        <w:rPr>
          <w:bCs/>
          <w:spacing w:val="-8"/>
          <w:sz w:val="28"/>
          <w:szCs w:val="28"/>
        </w:rPr>
      </w:pPr>
      <w:r w:rsidRPr="00E32A6B">
        <w:rPr>
          <w:bCs/>
          <w:spacing w:val="-8"/>
          <w:sz w:val="28"/>
          <w:szCs w:val="28"/>
        </w:rPr>
        <w:t xml:space="preserve">6.378 người x 50.000 đồng/người/tháng x 12 tháng = 3.826.800.000 đồng/năm. </w:t>
      </w:r>
    </w:p>
    <w:p w:rsidR="00C1283F" w:rsidRPr="00E32A6B" w:rsidRDefault="00872DA8" w:rsidP="00872DA8">
      <w:pPr>
        <w:spacing w:before="120" w:line="360" w:lineRule="exact"/>
        <w:ind w:firstLine="709"/>
        <w:jc w:val="both"/>
        <w:rPr>
          <w:bCs/>
          <w:sz w:val="28"/>
          <w:szCs w:val="28"/>
        </w:rPr>
      </w:pPr>
      <w:r w:rsidRPr="00E32A6B">
        <w:rPr>
          <w:b/>
          <w:bCs/>
          <w:sz w:val="28"/>
          <w:szCs w:val="28"/>
        </w:rPr>
        <w:t>Tổng cộng: 9.067.200.000 đồng/năm</w:t>
      </w:r>
      <w:r w:rsidR="00A4445B">
        <w:rPr>
          <w:b/>
          <w:bCs/>
          <w:sz w:val="28"/>
          <w:szCs w:val="28"/>
        </w:rPr>
        <w:t>.</w:t>
      </w:r>
      <w:r w:rsidRPr="00E32A6B">
        <w:rPr>
          <w:bCs/>
          <w:sz w:val="28"/>
          <w:szCs w:val="28"/>
        </w:rPr>
        <w:t xml:space="preserve"> </w:t>
      </w:r>
    </w:p>
    <w:p w:rsidR="00872DA8" w:rsidRPr="00E32A6B" w:rsidRDefault="00872DA8" w:rsidP="00872DA8">
      <w:pPr>
        <w:spacing w:before="120" w:line="360" w:lineRule="exact"/>
        <w:ind w:firstLine="709"/>
        <w:jc w:val="both"/>
        <w:rPr>
          <w:bCs/>
          <w:sz w:val="28"/>
          <w:szCs w:val="28"/>
        </w:rPr>
      </w:pPr>
      <w:r w:rsidRPr="00E32A6B">
        <w:rPr>
          <w:bCs/>
          <w:sz w:val="28"/>
          <w:szCs w:val="28"/>
        </w:rPr>
        <w:t>Kinh phí bố trí từ ngân sách thành phố theo phân cấp hiện hành, tổng hợp trong dự toán chi thường xuyên hằng năm.</w:t>
      </w:r>
    </w:p>
    <w:p w:rsidR="00E32A6B" w:rsidRPr="00E32A6B" w:rsidRDefault="00872DA8" w:rsidP="00872DA8">
      <w:pPr>
        <w:spacing w:before="120" w:line="360" w:lineRule="exact"/>
        <w:ind w:firstLine="709"/>
        <w:jc w:val="both"/>
        <w:rPr>
          <w:bCs/>
          <w:sz w:val="28"/>
          <w:szCs w:val="28"/>
        </w:rPr>
      </w:pPr>
      <w:r w:rsidRPr="00E32A6B">
        <w:rPr>
          <w:bCs/>
          <w:sz w:val="28"/>
          <w:szCs w:val="28"/>
        </w:rPr>
        <w:t xml:space="preserve">So với dự toán lấy ý kiến lần 1: 4.179.600.000 đồng/năm tính trên 1.161 tổ (Báo cáo 314/BC-SKHCN, đã được Sở Tài chính cho ý kiến), tổng kinh phí đề xuất </w:t>
      </w:r>
      <w:r w:rsidR="005327C0">
        <w:rPr>
          <w:bCs/>
          <w:sz w:val="28"/>
          <w:szCs w:val="28"/>
        </w:rPr>
        <w:t xml:space="preserve">lần 2 là 9.067.200.000 đồng/năm, </w:t>
      </w:r>
      <w:r w:rsidRPr="00E32A6B">
        <w:rPr>
          <w:bCs/>
          <w:sz w:val="28"/>
          <w:szCs w:val="28"/>
        </w:rPr>
        <w:t>cao hơn 4.887.600.000 đồng/năm (117%), do bổ sung đầy đủ 03 nội dung chi theo Thông tư số 39/2026/TT-BKHCN và áp dụng nội dung quy định tại tiết m1, m2 điểm m khoản 7 Điều 3 Thông tư số 39/2026/TT-BKHCN cho toàn bộ thành viên</w:t>
      </w:r>
      <w:r w:rsidR="00A4445B">
        <w:rPr>
          <w:bCs/>
          <w:sz w:val="28"/>
          <w:szCs w:val="28"/>
        </w:rPr>
        <w:t>.</w:t>
      </w:r>
    </w:p>
    <w:p w:rsidR="00872DA8" w:rsidRPr="00E32A6B" w:rsidRDefault="00872DA8" w:rsidP="00872DA8">
      <w:pPr>
        <w:spacing w:before="120" w:line="360" w:lineRule="exact"/>
        <w:ind w:firstLine="709"/>
        <w:jc w:val="both"/>
        <w:rPr>
          <w:bCs/>
          <w:sz w:val="28"/>
          <w:szCs w:val="28"/>
        </w:rPr>
      </w:pPr>
      <w:r w:rsidRPr="00E32A6B">
        <w:rPr>
          <w:bCs/>
          <w:sz w:val="28"/>
          <w:szCs w:val="28"/>
        </w:rPr>
        <w:t>Kinh phí cho nhiệm vụ đột xuất, phát sinh ngoài kế hoạch thường xuyên (nếu có) được bố trí theo chương trình, kế hoạch cụ thể khi phát sinh, không thuộc phạm vi Nghị quyết này.</w:t>
      </w:r>
    </w:p>
    <w:p w:rsidR="00872DA8" w:rsidRPr="00E32A6B" w:rsidRDefault="00872DA8" w:rsidP="00872DA8">
      <w:pPr>
        <w:spacing w:before="120" w:line="360" w:lineRule="exact"/>
        <w:ind w:firstLine="709"/>
        <w:jc w:val="both"/>
        <w:rPr>
          <w:b/>
          <w:bCs/>
          <w:sz w:val="28"/>
          <w:szCs w:val="28"/>
        </w:rPr>
      </w:pPr>
      <w:r w:rsidRPr="00E32A6B">
        <w:rPr>
          <w:b/>
          <w:bCs/>
          <w:sz w:val="28"/>
          <w:szCs w:val="28"/>
        </w:rPr>
        <w:t>2. Điều kiện bảo đảm thi hành</w:t>
      </w:r>
    </w:p>
    <w:p w:rsidR="00872DA8" w:rsidRPr="00E32A6B" w:rsidRDefault="00872DA8" w:rsidP="00872DA8">
      <w:pPr>
        <w:spacing w:before="120" w:line="360" w:lineRule="exact"/>
        <w:ind w:firstLine="709"/>
        <w:jc w:val="both"/>
        <w:rPr>
          <w:bCs/>
          <w:sz w:val="28"/>
          <w:szCs w:val="28"/>
        </w:rPr>
      </w:pPr>
      <w:r w:rsidRPr="00E32A6B">
        <w:rPr>
          <w:bCs/>
          <w:sz w:val="28"/>
          <w:szCs w:val="28"/>
        </w:rPr>
        <w:t xml:space="preserve">Sở Tài chính hướng dẫn, thẩm định dự toán và quyết toán ngân sách; Sở Khoa học và Công nghệ hướng dẫn nội dung, nhiệm vụ chuyên môn của Tổ </w:t>
      </w:r>
      <w:r w:rsidRPr="00E32A6B">
        <w:rPr>
          <w:bCs/>
          <w:sz w:val="28"/>
          <w:szCs w:val="28"/>
        </w:rPr>
        <w:lastRenderedPageBreak/>
        <w:t>CNSCĐ; UBND các xã, phường trực tiếp quản lý, chi trả, quyết toán kinh phí, bảo đảm công khai, minh bạch, đúng mục đích.</w:t>
      </w:r>
    </w:p>
    <w:p w:rsidR="00872DA8" w:rsidRPr="00E32A6B" w:rsidRDefault="00872DA8" w:rsidP="00872DA8">
      <w:pPr>
        <w:spacing w:before="120" w:line="360" w:lineRule="exact"/>
        <w:ind w:firstLine="709"/>
        <w:jc w:val="both"/>
        <w:rPr>
          <w:b/>
          <w:bCs/>
          <w:sz w:val="28"/>
          <w:szCs w:val="28"/>
        </w:rPr>
      </w:pPr>
      <w:r w:rsidRPr="00E32A6B">
        <w:rPr>
          <w:b/>
          <w:bCs/>
          <w:sz w:val="28"/>
          <w:szCs w:val="28"/>
        </w:rPr>
        <w:t>3. Thời gian dự kiến trình thông qua, ban hành</w:t>
      </w:r>
    </w:p>
    <w:p w:rsidR="00872DA8" w:rsidRPr="00E32A6B" w:rsidRDefault="00872DA8" w:rsidP="00872DA8">
      <w:pPr>
        <w:spacing w:before="120" w:line="360" w:lineRule="exact"/>
        <w:ind w:firstLine="709"/>
        <w:jc w:val="both"/>
        <w:rPr>
          <w:sz w:val="28"/>
          <w:szCs w:val="28"/>
        </w:rPr>
      </w:pPr>
      <w:r w:rsidRPr="00E32A6B">
        <w:rPr>
          <w:bCs/>
          <w:sz w:val="28"/>
          <w:szCs w:val="28"/>
        </w:rPr>
        <w:t>Trình Hội đồng nhân dân thành phố tại kỳ họp gần nhất trong Quý III/2026 theo Công văn số 3733/UBND-KH ngày 17/3/2026.</w:t>
      </w:r>
    </w:p>
    <w:p w:rsidR="00534110" w:rsidRPr="00E32A6B" w:rsidRDefault="00D87555" w:rsidP="00872DA8">
      <w:pPr>
        <w:spacing w:before="120" w:line="360" w:lineRule="exact"/>
        <w:ind w:firstLine="709"/>
        <w:jc w:val="both"/>
        <w:rPr>
          <w:sz w:val="28"/>
          <w:szCs w:val="28"/>
        </w:rPr>
      </w:pPr>
      <w:r w:rsidRPr="00E32A6B">
        <w:rPr>
          <w:sz w:val="28"/>
          <w:szCs w:val="28"/>
        </w:rPr>
        <w:t>Trên đây là Tờ trình đề nghị ban hành Nghị quyết quy định mức hỗ trợ đối với Tổ Công nghệ số cộng đồng trên địa bàn thành phố Huế, Ủy ban nhân dân thành phố kính trình Hội đồng nhân dân thành phố xem xét, quyết nghị./.</w:t>
      </w:r>
    </w:p>
    <w:p w:rsidR="00534110" w:rsidRPr="00E32A6B" w:rsidRDefault="00D87555" w:rsidP="0071610F">
      <w:pPr>
        <w:spacing w:before="120" w:line="360" w:lineRule="exact"/>
        <w:ind w:firstLine="709"/>
        <w:jc w:val="both"/>
        <w:rPr>
          <w:i/>
          <w:iCs/>
          <w:sz w:val="28"/>
          <w:szCs w:val="28"/>
        </w:rPr>
      </w:pPr>
      <w:r w:rsidRPr="00E32A6B">
        <w:rPr>
          <w:i/>
          <w:iCs/>
          <w:sz w:val="28"/>
          <w:szCs w:val="28"/>
        </w:rPr>
        <w:t>(Gửi kèm theo: dự thảo Nghị quyết; Bảng so sánh, thuyết minh nội dung dự thảo; Báo cáo tình hình Tổ CNSCĐ; Báo cáo thẩm định của Sở Tư pháp; Báo cáo tiếp thu, giải trình thẩm định; Báo cáo giải trình việc tiếp thu, chỉnh sửa ý kiến góp ý và tài liệu liên quan)</w:t>
      </w:r>
    </w:p>
    <w:p w:rsidR="009B4DC0" w:rsidRPr="00E32A6B" w:rsidRDefault="009B4DC0" w:rsidP="0071610F">
      <w:pPr>
        <w:spacing w:before="120" w:line="360" w:lineRule="exact"/>
        <w:ind w:firstLine="709"/>
        <w:jc w:val="both"/>
        <w:rPr>
          <w:i/>
          <w:iCs/>
          <w:sz w:val="28"/>
          <w:szCs w:val="28"/>
        </w:rPr>
      </w:pPr>
    </w:p>
    <w:tbl>
      <w:tblPr>
        <w:tblW w:w="9072" w:type="dxa"/>
        <w:tblLook w:val="01E0" w:firstRow="1" w:lastRow="1" w:firstColumn="1" w:lastColumn="1" w:noHBand="0" w:noVBand="0"/>
      </w:tblPr>
      <w:tblGrid>
        <w:gridCol w:w="4253"/>
        <w:gridCol w:w="4819"/>
      </w:tblGrid>
      <w:tr w:rsidR="000C2DBA" w:rsidRPr="00E32A6B" w:rsidTr="00A00BD6">
        <w:trPr>
          <w:trHeight w:val="860"/>
        </w:trPr>
        <w:tc>
          <w:tcPr>
            <w:tcW w:w="4253" w:type="dxa"/>
          </w:tcPr>
          <w:p w:rsidR="000C2DBA" w:rsidRPr="00E32A6B" w:rsidRDefault="000C2DBA" w:rsidP="00A00BD6">
            <w:pPr>
              <w:pStyle w:val="BodyText2"/>
              <w:spacing w:before="0" w:after="0" w:line="240" w:lineRule="auto"/>
              <w:ind w:right="-23" w:hanging="105"/>
              <w:rPr>
                <w:rFonts w:ascii="Times New Roman" w:hAnsi="Times New Roman"/>
                <w:b/>
                <w:bCs/>
                <w:i/>
                <w:sz w:val="24"/>
                <w:lang w:val="vi-VN" w:eastAsia="en-US"/>
              </w:rPr>
            </w:pPr>
            <w:r w:rsidRPr="00E32A6B">
              <w:rPr>
                <w:rFonts w:ascii="Times New Roman" w:hAnsi="Times New Roman"/>
                <w:b/>
                <w:i/>
                <w:iCs/>
                <w:sz w:val="24"/>
                <w:lang w:val="vi-VN" w:eastAsia="en-US"/>
              </w:rPr>
              <w:t>Nơi nhận:</w:t>
            </w:r>
            <w:r w:rsidRPr="00E32A6B">
              <w:rPr>
                <w:rFonts w:ascii="Times New Roman" w:hAnsi="Times New Roman"/>
                <w:b/>
                <w:bCs/>
                <w:i/>
                <w:sz w:val="24"/>
                <w:lang w:val="vi-VN" w:eastAsia="en-US"/>
              </w:rPr>
              <w:t xml:space="preserve">                                                            </w:t>
            </w:r>
          </w:p>
          <w:p w:rsidR="000C2DBA" w:rsidRPr="00E32A6B" w:rsidRDefault="000C2DBA" w:rsidP="00A00BD6">
            <w:pPr>
              <w:tabs>
                <w:tab w:val="left" w:pos="567"/>
              </w:tabs>
              <w:ind w:left="-109" w:hanging="4"/>
              <w:jc w:val="both"/>
              <w:rPr>
                <w:bCs/>
                <w:iCs/>
                <w:sz w:val="22"/>
                <w:szCs w:val="22"/>
                <w:lang w:val="nb-NO"/>
              </w:rPr>
            </w:pPr>
            <w:r w:rsidRPr="00E32A6B">
              <w:rPr>
                <w:bCs/>
                <w:iCs/>
                <w:sz w:val="22"/>
                <w:szCs w:val="22"/>
                <w:lang w:val="nb-NO"/>
              </w:rPr>
              <w:t>- Như trên;</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Thường trực Thành ủy;</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Thường trực HĐND thành phố;</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Chủ tịch, các Phó Chủ tịch UBND thành phố;</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Ủy ban MTTQVN thành phố và các đoàn thể;</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Ban Thường trực Thành ủy;</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Các sở, ban, ngành thành phố;</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Cổng thông tin điện tử thành phố;</w:t>
            </w:r>
          </w:p>
          <w:p w:rsidR="000C2DBA" w:rsidRPr="00E32A6B" w:rsidRDefault="000C2DBA" w:rsidP="00A00BD6">
            <w:pPr>
              <w:tabs>
                <w:tab w:val="left" w:pos="567"/>
              </w:tabs>
              <w:ind w:left="-109" w:hanging="4"/>
              <w:jc w:val="both"/>
              <w:rPr>
                <w:sz w:val="22"/>
                <w:szCs w:val="22"/>
                <w:lang w:val="nb-NO"/>
              </w:rPr>
            </w:pPr>
            <w:r w:rsidRPr="00E32A6B">
              <w:rPr>
                <w:sz w:val="22"/>
                <w:szCs w:val="22"/>
                <w:lang w:val="nb-NO"/>
              </w:rPr>
              <w:t>- Văn phòng UBND thành phố: LĐVP, TH, KT, KTN, TKCT;</w:t>
            </w:r>
          </w:p>
          <w:p w:rsidR="000C2DBA" w:rsidRPr="00E32A6B" w:rsidRDefault="000C2DBA" w:rsidP="00A00BD6">
            <w:pPr>
              <w:tabs>
                <w:tab w:val="left" w:pos="567"/>
              </w:tabs>
              <w:ind w:left="-109" w:hanging="4"/>
              <w:jc w:val="both"/>
              <w:rPr>
                <w:sz w:val="28"/>
                <w:szCs w:val="28"/>
                <w:highlight w:val="yellow"/>
                <w:lang w:val="nb-NO"/>
              </w:rPr>
            </w:pPr>
            <w:r w:rsidRPr="00E32A6B">
              <w:rPr>
                <w:sz w:val="22"/>
                <w:szCs w:val="22"/>
                <w:lang w:val="nb-NO"/>
              </w:rPr>
              <w:t>-</w:t>
            </w:r>
            <w:r w:rsidRPr="00E32A6B">
              <w:rPr>
                <w:sz w:val="22"/>
                <w:szCs w:val="22"/>
              </w:rPr>
              <w:t xml:space="preserve"> Lưu: VT, KH.</w:t>
            </w:r>
          </w:p>
        </w:tc>
        <w:tc>
          <w:tcPr>
            <w:tcW w:w="4819" w:type="dxa"/>
          </w:tcPr>
          <w:p w:rsidR="000C2DBA" w:rsidRPr="00E32A6B" w:rsidRDefault="000C2DBA" w:rsidP="00A00BD6">
            <w:pPr>
              <w:pStyle w:val="NormalWeb"/>
              <w:spacing w:before="0" w:beforeAutospacing="0" w:after="0" w:afterAutospacing="0"/>
              <w:jc w:val="center"/>
              <w:rPr>
                <w:b/>
                <w:sz w:val="28"/>
                <w:szCs w:val="28"/>
                <w:lang w:val="pl-PL" w:eastAsia="en-US"/>
              </w:rPr>
            </w:pPr>
            <w:r w:rsidRPr="00E32A6B">
              <w:rPr>
                <w:b/>
                <w:sz w:val="28"/>
                <w:szCs w:val="28"/>
                <w:lang w:val="pl-PL" w:eastAsia="en-US"/>
              </w:rPr>
              <w:t>TM. ỦY BAN NHÂN DÂN</w:t>
            </w:r>
          </w:p>
          <w:p w:rsidR="000C2DBA" w:rsidRPr="00E32A6B" w:rsidRDefault="000C2DBA" w:rsidP="00A00BD6">
            <w:pPr>
              <w:pStyle w:val="NormalWeb"/>
              <w:tabs>
                <w:tab w:val="center" w:pos="2215"/>
                <w:tab w:val="left" w:pos="3360"/>
              </w:tabs>
              <w:spacing w:before="0" w:beforeAutospacing="0" w:after="0" w:afterAutospacing="0"/>
              <w:jc w:val="center"/>
              <w:rPr>
                <w:b/>
                <w:sz w:val="28"/>
                <w:szCs w:val="28"/>
                <w:lang w:val="pl-PL" w:eastAsia="en-US"/>
              </w:rPr>
            </w:pPr>
            <w:r w:rsidRPr="00E32A6B">
              <w:rPr>
                <w:b/>
                <w:sz w:val="28"/>
                <w:szCs w:val="28"/>
                <w:lang w:val="pl-PL" w:eastAsia="en-US"/>
              </w:rPr>
              <w:t>KT. CHỦ TỊCH</w:t>
            </w:r>
          </w:p>
          <w:p w:rsidR="000C2DBA" w:rsidRPr="00E32A6B" w:rsidRDefault="000C2DBA" w:rsidP="00A00BD6">
            <w:pPr>
              <w:pStyle w:val="NormalWeb"/>
              <w:tabs>
                <w:tab w:val="center" w:pos="2215"/>
                <w:tab w:val="left" w:pos="3360"/>
              </w:tabs>
              <w:spacing w:before="0" w:beforeAutospacing="0" w:after="0" w:afterAutospacing="0"/>
              <w:jc w:val="center"/>
              <w:rPr>
                <w:b/>
                <w:sz w:val="28"/>
                <w:szCs w:val="28"/>
                <w:lang w:val="pl-PL" w:eastAsia="en-US"/>
              </w:rPr>
            </w:pPr>
            <w:r w:rsidRPr="00E32A6B">
              <w:rPr>
                <w:b/>
                <w:sz w:val="28"/>
                <w:szCs w:val="28"/>
                <w:lang w:val="pl-PL" w:eastAsia="en-US"/>
              </w:rPr>
              <w:t>PHÓ CHỦ TỊCH</w:t>
            </w:r>
          </w:p>
          <w:p w:rsidR="000C2DBA" w:rsidRPr="00E32A6B" w:rsidRDefault="000C2DBA" w:rsidP="00A00BD6">
            <w:pPr>
              <w:jc w:val="center"/>
              <w:rPr>
                <w:b/>
                <w:spacing w:val="-6"/>
                <w:sz w:val="28"/>
                <w:szCs w:val="28"/>
              </w:rPr>
            </w:pPr>
          </w:p>
          <w:p w:rsidR="000C2DBA" w:rsidRPr="00E32A6B" w:rsidRDefault="000C2DBA" w:rsidP="00A00BD6">
            <w:pPr>
              <w:rPr>
                <w:bCs/>
                <w:i/>
                <w:iCs/>
                <w:spacing w:val="-6"/>
                <w:sz w:val="28"/>
                <w:szCs w:val="28"/>
              </w:rPr>
            </w:pPr>
          </w:p>
          <w:p w:rsidR="000C2DBA" w:rsidRPr="00E32A6B" w:rsidRDefault="000C2DBA" w:rsidP="00A00BD6">
            <w:pPr>
              <w:rPr>
                <w:b/>
                <w:spacing w:val="-6"/>
                <w:sz w:val="28"/>
                <w:szCs w:val="28"/>
              </w:rPr>
            </w:pPr>
          </w:p>
          <w:p w:rsidR="000C2DBA" w:rsidRPr="00E32A6B" w:rsidRDefault="000C2DBA" w:rsidP="00A00BD6">
            <w:pPr>
              <w:jc w:val="center"/>
              <w:rPr>
                <w:b/>
                <w:spacing w:val="-6"/>
                <w:sz w:val="28"/>
                <w:szCs w:val="28"/>
              </w:rPr>
            </w:pPr>
          </w:p>
          <w:p w:rsidR="000C2DBA" w:rsidRPr="00E32A6B" w:rsidRDefault="000C2DBA" w:rsidP="00A00BD6">
            <w:pPr>
              <w:jc w:val="center"/>
              <w:rPr>
                <w:b/>
                <w:spacing w:val="-6"/>
                <w:sz w:val="28"/>
                <w:szCs w:val="28"/>
              </w:rPr>
            </w:pPr>
          </w:p>
        </w:tc>
      </w:tr>
    </w:tbl>
    <w:p w:rsidR="000C2DBA" w:rsidRPr="00E32A6B" w:rsidRDefault="000C2DBA" w:rsidP="000C2DBA">
      <w:pPr>
        <w:spacing w:before="120" w:line="360" w:lineRule="exact"/>
        <w:jc w:val="both"/>
        <w:rPr>
          <w:sz w:val="28"/>
          <w:szCs w:val="28"/>
        </w:rPr>
      </w:pPr>
    </w:p>
    <w:p w:rsidR="00534110" w:rsidRPr="00E32A6B" w:rsidRDefault="00534110">
      <w:pPr>
        <w:spacing w:after="80"/>
      </w:pPr>
    </w:p>
    <w:p w:rsidR="00D87555" w:rsidRPr="00E32A6B" w:rsidRDefault="00D87555"/>
    <w:sectPr w:rsidR="00D87555" w:rsidRPr="00E32A6B" w:rsidSect="00FD4BB0">
      <w:headerReference w:type="default" r:id="rId7"/>
      <w:pgSz w:w="11907" w:h="16840"/>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37B" w:rsidRDefault="00E4137B" w:rsidP="00FD4BB0">
      <w:r>
        <w:separator/>
      </w:r>
    </w:p>
  </w:endnote>
  <w:endnote w:type="continuationSeparator" w:id="0">
    <w:p w:rsidR="00E4137B" w:rsidRDefault="00E4137B" w:rsidP="00FD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37B" w:rsidRDefault="00E4137B" w:rsidP="00FD4BB0">
      <w:r>
        <w:separator/>
      </w:r>
    </w:p>
  </w:footnote>
  <w:footnote w:type="continuationSeparator" w:id="0">
    <w:p w:rsidR="00E4137B" w:rsidRDefault="00E4137B" w:rsidP="00FD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3558705"/>
      <w:docPartObj>
        <w:docPartGallery w:val="Page Numbers (Top of Page)"/>
        <w:docPartUnique/>
      </w:docPartObj>
    </w:sdtPr>
    <w:sdtEndPr>
      <w:rPr>
        <w:noProof/>
      </w:rPr>
    </w:sdtEndPr>
    <w:sdtContent>
      <w:p w:rsidR="00FD4BB0" w:rsidRDefault="00FD4BB0">
        <w:pPr>
          <w:pStyle w:val="Header"/>
          <w:jc w:val="center"/>
        </w:pPr>
        <w:r>
          <w:fldChar w:fldCharType="begin"/>
        </w:r>
        <w:r>
          <w:instrText xml:space="preserve"> PAGE   \* MERGEFORMAT </w:instrText>
        </w:r>
        <w:r>
          <w:fldChar w:fldCharType="separate"/>
        </w:r>
        <w:r w:rsidR="00D04044">
          <w:rPr>
            <w:noProof/>
          </w:rPr>
          <w:t>8</w:t>
        </w:r>
        <w:r>
          <w:rPr>
            <w:noProof/>
          </w:rPr>
          <w:fldChar w:fldCharType="end"/>
        </w:r>
      </w:p>
    </w:sdtContent>
  </w:sdt>
  <w:p w:rsidR="00FD4BB0" w:rsidRDefault="00FD4B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542C6"/>
    <w:multiLevelType w:val="hybridMultilevel"/>
    <w:tmpl w:val="D1B0F13A"/>
    <w:lvl w:ilvl="0" w:tplc="E576A5E8">
      <w:start w:val="1"/>
      <w:numFmt w:val="bullet"/>
      <w:lvlText w:val="●"/>
      <w:lvlJc w:val="left"/>
      <w:pPr>
        <w:ind w:left="720" w:hanging="360"/>
      </w:pPr>
    </w:lvl>
    <w:lvl w:ilvl="1" w:tplc="657E1F72">
      <w:start w:val="1"/>
      <w:numFmt w:val="bullet"/>
      <w:lvlText w:val="○"/>
      <w:lvlJc w:val="left"/>
      <w:pPr>
        <w:ind w:left="1440" w:hanging="360"/>
      </w:pPr>
    </w:lvl>
    <w:lvl w:ilvl="2" w:tplc="D0609C36">
      <w:start w:val="1"/>
      <w:numFmt w:val="bullet"/>
      <w:lvlText w:val="■"/>
      <w:lvlJc w:val="left"/>
      <w:pPr>
        <w:ind w:left="2160" w:hanging="360"/>
      </w:pPr>
    </w:lvl>
    <w:lvl w:ilvl="3" w:tplc="506830CA">
      <w:start w:val="1"/>
      <w:numFmt w:val="bullet"/>
      <w:lvlText w:val="●"/>
      <w:lvlJc w:val="left"/>
      <w:pPr>
        <w:ind w:left="2880" w:hanging="360"/>
      </w:pPr>
    </w:lvl>
    <w:lvl w:ilvl="4" w:tplc="3CB65EBC">
      <w:start w:val="1"/>
      <w:numFmt w:val="bullet"/>
      <w:lvlText w:val="○"/>
      <w:lvlJc w:val="left"/>
      <w:pPr>
        <w:ind w:left="3600" w:hanging="360"/>
      </w:pPr>
    </w:lvl>
    <w:lvl w:ilvl="5" w:tplc="BCCA39D8">
      <w:start w:val="1"/>
      <w:numFmt w:val="bullet"/>
      <w:lvlText w:val="■"/>
      <w:lvlJc w:val="left"/>
      <w:pPr>
        <w:ind w:left="4320" w:hanging="360"/>
      </w:pPr>
    </w:lvl>
    <w:lvl w:ilvl="6" w:tplc="977CE88E">
      <w:start w:val="1"/>
      <w:numFmt w:val="bullet"/>
      <w:lvlText w:val="●"/>
      <w:lvlJc w:val="left"/>
      <w:pPr>
        <w:ind w:left="5040" w:hanging="360"/>
      </w:pPr>
    </w:lvl>
    <w:lvl w:ilvl="7" w:tplc="13C26AC0">
      <w:start w:val="1"/>
      <w:numFmt w:val="bullet"/>
      <w:lvlText w:val="●"/>
      <w:lvlJc w:val="left"/>
      <w:pPr>
        <w:ind w:left="5760" w:hanging="360"/>
      </w:pPr>
    </w:lvl>
    <w:lvl w:ilvl="8" w:tplc="EA14834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110"/>
    <w:rsid w:val="00013073"/>
    <w:rsid w:val="00017577"/>
    <w:rsid w:val="000849CE"/>
    <w:rsid w:val="00091AFB"/>
    <w:rsid w:val="000C2DBA"/>
    <w:rsid w:val="000E4D04"/>
    <w:rsid w:val="001267D7"/>
    <w:rsid w:val="001731B1"/>
    <w:rsid w:val="001F5AC6"/>
    <w:rsid w:val="00262B78"/>
    <w:rsid w:val="002902F8"/>
    <w:rsid w:val="00297FAF"/>
    <w:rsid w:val="003058E3"/>
    <w:rsid w:val="0032149F"/>
    <w:rsid w:val="00323896"/>
    <w:rsid w:val="00384228"/>
    <w:rsid w:val="0040381D"/>
    <w:rsid w:val="004252F2"/>
    <w:rsid w:val="00476BF0"/>
    <w:rsid w:val="004E5F6A"/>
    <w:rsid w:val="005327C0"/>
    <w:rsid w:val="00534110"/>
    <w:rsid w:val="005C0A6A"/>
    <w:rsid w:val="0064718C"/>
    <w:rsid w:val="006554E2"/>
    <w:rsid w:val="0067720F"/>
    <w:rsid w:val="0071610F"/>
    <w:rsid w:val="007D2C49"/>
    <w:rsid w:val="00800416"/>
    <w:rsid w:val="00804FD5"/>
    <w:rsid w:val="00834CD9"/>
    <w:rsid w:val="00872DA8"/>
    <w:rsid w:val="008B49A9"/>
    <w:rsid w:val="008F3946"/>
    <w:rsid w:val="0096546E"/>
    <w:rsid w:val="009666E6"/>
    <w:rsid w:val="00980FE2"/>
    <w:rsid w:val="009A0C5F"/>
    <w:rsid w:val="009A7F8B"/>
    <w:rsid w:val="009B4DC0"/>
    <w:rsid w:val="009E0A1F"/>
    <w:rsid w:val="009F3D50"/>
    <w:rsid w:val="00A1786B"/>
    <w:rsid w:val="00A4445B"/>
    <w:rsid w:val="00A941DE"/>
    <w:rsid w:val="00AA1E82"/>
    <w:rsid w:val="00AC6DD8"/>
    <w:rsid w:val="00B87C88"/>
    <w:rsid w:val="00C03B6E"/>
    <w:rsid w:val="00C1283F"/>
    <w:rsid w:val="00C21688"/>
    <w:rsid w:val="00C31D44"/>
    <w:rsid w:val="00CD4142"/>
    <w:rsid w:val="00CF1B50"/>
    <w:rsid w:val="00D04044"/>
    <w:rsid w:val="00D52206"/>
    <w:rsid w:val="00D70091"/>
    <w:rsid w:val="00D87555"/>
    <w:rsid w:val="00DA0372"/>
    <w:rsid w:val="00DB3540"/>
    <w:rsid w:val="00DF0E7A"/>
    <w:rsid w:val="00DF574C"/>
    <w:rsid w:val="00E268A3"/>
    <w:rsid w:val="00E32A6B"/>
    <w:rsid w:val="00E4137B"/>
    <w:rsid w:val="00EA6B31"/>
    <w:rsid w:val="00F504C6"/>
    <w:rsid w:val="00FD4BB0"/>
    <w:rsid w:val="00FF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97649F-3A7E-4A27-92DF-471FFCE8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FAF"/>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aliases w:val="Normal (Web) Char,Char Char Char Char Char Char Char Char Char Char Char Char Char Char Char,Char Char Char Char Char Char Char Char Char Char Char Char Char,Char Char Char Char Char Char Char Char Char Char Char Char,5.1,Car Car,we"/>
    <w:basedOn w:val="Normal"/>
    <w:link w:val="NormalWebChar1"/>
    <w:uiPriority w:val="99"/>
    <w:unhideWhenUsed/>
    <w:qFormat/>
    <w:rsid w:val="0032149F"/>
    <w:pPr>
      <w:spacing w:before="100" w:beforeAutospacing="1" w:after="100" w:afterAutospacing="1"/>
    </w:pPr>
    <w:rPr>
      <w:sz w:val="24"/>
      <w:szCs w:val="24"/>
      <w:lang w:val="vi-VN" w:eastAsia="vi-VN"/>
    </w:rPr>
  </w:style>
  <w:style w:type="character" w:customStyle="1" w:styleId="NormalWebChar1">
    <w:name w:val="Normal (Web) Char1"/>
    <w:aliases w:val="Normal (Web) Char Char,Char Char Char Char Char Char Char Char Char Char Char Char Char Char Char Char,Char Char Char Char Char Char Char Char Char Char Char Char Char Char,5.1 Char,Car Car Char,we Char"/>
    <w:link w:val="NormalWeb"/>
    <w:uiPriority w:val="99"/>
    <w:locked/>
    <w:rsid w:val="0032149F"/>
    <w:rPr>
      <w:sz w:val="24"/>
      <w:szCs w:val="24"/>
      <w:lang w:val="vi-VN" w:eastAsia="vi-VN"/>
    </w:rPr>
  </w:style>
  <w:style w:type="paragraph" w:styleId="BodyText2">
    <w:name w:val="Body Text 2"/>
    <w:basedOn w:val="Normal"/>
    <w:link w:val="BodyText2Char"/>
    <w:uiPriority w:val="99"/>
    <w:rsid w:val="000C2DBA"/>
    <w:pPr>
      <w:spacing w:before="50" w:after="50" w:line="460" w:lineRule="exact"/>
      <w:jc w:val="both"/>
    </w:pPr>
    <w:rPr>
      <w:rFonts w:ascii=".VnTime" w:hAnsi=".VnTime"/>
      <w:sz w:val="28"/>
      <w:szCs w:val="24"/>
      <w:lang w:val="x-none" w:eastAsia="x-none"/>
    </w:rPr>
  </w:style>
  <w:style w:type="character" w:customStyle="1" w:styleId="BodyText2Char">
    <w:name w:val="Body Text 2 Char"/>
    <w:basedOn w:val="DefaultParagraphFont"/>
    <w:link w:val="BodyText2"/>
    <w:uiPriority w:val="99"/>
    <w:rsid w:val="000C2DBA"/>
    <w:rPr>
      <w:rFonts w:ascii=".VnTime" w:hAnsi=".VnTime"/>
      <w:sz w:val="28"/>
      <w:szCs w:val="24"/>
      <w:lang w:val="x-none" w:eastAsia="x-none"/>
    </w:rPr>
  </w:style>
  <w:style w:type="paragraph" w:styleId="Header">
    <w:name w:val="header"/>
    <w:basedOn w:val="Normal"/>
    <w:link w:val="HeaderChar"/>
    <w:uiPriority w:val="99"/>
    <w:unhideWhenUsed/>
    <w:rsid w:val="00FD4BB0"/>
    <w:pPr>
      <w:tabs>
        <w:tab w:val="center" w:pos="4680"/>
        <w:tab w:val="right" w:pos="9360"/>
      </w:tabs>
    </w:pPr>
  </w:style>
  <w:style w:type="character" w:customStyle="1" w:styleId="HeaderChar">
    <w:name w:val="Header Char"/>
    <w:basedOn w:val="DefaultParagraphFont"/>
    <w:link w:val="Header"/>
    <w:uiPriority w:val="99"/>
    <w:rsid w:val="00FD4BB0"/>
  </w:style>
  <w:style w:type="paragraph" w:styleId="Footer">
    <w:name w:val="footer"/>
    <w:basedOn w:val="Normal"/>
    <w:link w:val="FooterChar"/>
    <w:uiPriority w:val="99"/>
    <w:unhideWhenUsed/>
    <w:rsid w:val="00FD4BB0"/>
    <w:pPr>
      <w:tabs>
        <w:tab w:val="center" w:pos="4680"/>
        <w:tab w:val="right" w:pos="9360"/>
      </w:tabs>
    </w:pPr>
  </w:style>
  <w:style w:type="character" w:customStyle="1" w:styleId="FooterChar">
    <w:name w:val="Footer Char"/>
    <w:basedOn w:val="DefaultParagraphFont"/>
    <w:link w:val="Footer"/>
    <w:uiPriority w:val="99"/>
    <w:rsid w:val="00FD4BB0"/>
  </w:style>
  <w:style w:type="character" w:styleId="Emphasis">
    <w:name w:val="Emphasis"/>
    <w:basedOn w:val="DefaultParagraphFont"/>
    <w:uiPriority w:val="20"/>
    <w:qFormat/>
    <w:rsid w:val="00E32A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168905">
      <w:bodyDiv w:val="1"/>
      <w:marLeft w:val="0"/>
      <w:marRight w:val="0"/>
      <w:marTop w:val="0"/>
      <w:marBottom w:val="0"/>
      <w:divBdr>
        <w:top w:val="none" w:sz="0" w:space="0" w:color="auto"/>
        <w:left w:val="none" w:sz="0" w:space="0" w:color="auto"/>
        <w:bottom w:val="none" w:sz="0" w:space="0" w:color="auto"/>
        <w:right w:val="none" w:sz="0" w:space="0" w:color="auto"/>
      </w:divBdr>
    </w:div>
    <w:div w:id="1178158977">
      <w:bodyDiv w:val="1"/>
      <w:marLeft w:val="0"/>
      <w:marRight w:val="0"/>
      <w:marTop w:val="0"/>
      <w:marBottom w:val="0"/>
      <w:divBdr>
        <w:top w:val="none" w:sz="0" w:space="0" w:color="auto"/>
        <w:left w:val="none" w:sz="0" w:space="0" w:color="auto"/>
        <w:bottom w:val="none" w:sz="0" w:space="0" w:color="auto"/>
        <w:right w:val="none" w:sz="0" w:space="0" w:color="auto"/>
      </w:divBdr>
    </w:div>
    <w:div w:id="1771855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2656</Words>
  <Characters>15141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7</cp:revision>
  <dcterms:created xsi:type="dcterms:W3CDTF">2026-08-24T02:50:00Z</dcterms:created>
  <dcterms:modified xsi:type="dcterms:W3CDTF">2026-08-25T03:41:00Z</dcterms:modified>
</cp:coreProperties>
</file>